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F1" w:rsidRPr="00C9549D" w:rsidRDefault="007C3EF1" w:rsidP="00972E69">
      <w:pPr>
        <w:spacing w:line="600" w:lineRule="auto"/>
        <w:jc w:val="center"/>
        <w:rPr>
          <w:sz w:val="96"/>
          <w:szCs w:val="96"/>
          <w:rtl/>
          <w:lang w:bidi="ar-MA"/>
        </w:rPr>
      </w:pPr>
      <w:r w:rsidRPr="00C9549D">
        <w:rPr>
          <w:rFonts w:hint="cs"/>
          <w:sz w:val="96"/>
          <w:szCs w:val="96"/>
          <w:rtl/>
          <w:lang w:bidi="ar-MA"/>
        </w:rPr>
        <w:t>الحصة</w:t>
      </w:r>
      <w:r w:rsidR="00972E69">
        <w:rPr>
          <w:rFonts w:hint="cs"/>
          <w:sz w:val="96"/>
          <w:szCs w:val="96"/>
          <w:rtl/>
          <w:lang w:bidi="ar-MA"/>
        </w:rPr>
        <w:t xml:space="preserve"> </w:t>
      </w:r>
      <w:r>
        <w:rPr>
          <w:rFonts w:hint="cs"/>
          <w:sz w:val="96"/>
          <w:szCs w:val="96"/>
          <w:rtl/>
          <w:lang w:bidi="ar-MA"/>
        </w:rPr>
        <w:t>ال</w:t>
      </w:r>
      <w:r w:rsidR="00972E69">
        <w:rPr>
          <w:rFonts w:hint="cs"/>
          <w:sz w:val="96"/>
          <w:szCs w:val="96"/>
          <w:rtl/>
          <w:lang w:bidi="ar-MA"/>
        </w:rPr>
        <w:t>حادية عشر</w:t>
      </w:r>
    </w:p>
    <w:p w:rsidR="007C3EF1" w:rsidRPr="00C9549D" w:rsidRDefault="007C3EF1" w:rsidP="007C3EF1">
      <w:pPr>
        <w:spacing w:line="600" w:lineRule="auto"/>
        <w:jc w:val="center"/>
        <w:rPr>
          <w:sz w:val="96"/>
          <w:szCs w:val="96"/>
          <w:rtl/>
          <w:lang w:bidi="ar-MA"/>
        </w:rPr>
      </w:pPr>
      <w:r w:rsidRPr="00C9549D">
        <w:rPr>
          <w:rFonts w:hint="cs"/>
          <w:sz w:val="96"/>
          <w:szCs w:val="96"/>
          <w:rtl/>
          <w:lang w:bidi="ar-MA"/>
        </w:rPr>
        <w:t>مادة حقوق الإنسان</w:t>
      </w:r>
    </w:p>
    <w:p w:rsidR="007C3EF1" w:rsidRDefault="007C3EF1" w:rsidP="007C3EF1">
      <w:pPr>
        <w:spacing w:line="600" w:lineRule="auto"/>
        <w:jc w:val="center"/>
        <w:rPr>
          <w:sz w:val="56"/>
          <w:szCs w:val="56"/>
          <w:rtl/>
          <w:lang w:bidi="ar-MA"/>
        </w:rPr>
      </w:pPr>
      <w:r w:rsidRPr="00C9549D">
        <w:rPr>
          <w:rFonts w:hint="cs"/>
          <w:sz w:val="56"/>
          <w:szCs w:val="56"/>
          <w:rtl/>
          <w:lang w:bidi="ar-MA"/>
        </w:rPr>
        <w:t>الأستاذ</w:t>
      </w:r>
      <w:r>
        <w:rPr>
          <w:rFonts w:hint="cs"/>
          <w:sz w:val="56"/>
          <w:szCs w:val="56"/>
          <w:rtl/>
          <w:lang w:bidi="ar-MA"/>
        </w:rPr>
        <w:t>:</w:t>
      </w:r>
      <w:r w:rsidRPr="00C9549D">
        <w:rPr>
          <w:rFonts w:hint="cs"/>
          <w:sz w:val="56"/>
          <w:szCs w:val="56"/>
          <w:rtl/>
          <w:lang w:bidi="ar-MA"/>
        </w:rPr>
        <w:t>بوزلماط</w:t>
      </w:r>
    </w:p>
    <w:p w:rsidR="007C3EF1" w:rsidRDefault="007C3EF1" w:rsidP="007C3EF1">
      <w:pPr>
        <w:spacing w:line="600" w:lineRule="auto"/>
        <w:jc w:val="center"/>
        <w:rPr>
          <w:sz w:val="56"/>
          <w:szCs w:val="56"/>
          <w:rtl/>
          <w:lang w:bidi="ar-MA"/>
        </w:rPr>
      </w:pPr>
      <w:r>
        <w:rPr>
          <w:rFonts w:hint="cs"/>
          <w:sz w:val="56"/>
          <w:szCs w:val="56"/>
          <w:rtl/>
          <w:lang w:bidi="ar-MA"/>
        </w:rPr>
        <w:t>الأسدس الرابع</w:t>
      </w:r>
    </w:p>
    <w:p w:rsidR="007C3EF1" w:rsidRDefault="007C3EF1" w:rsidP="007C3EF1">
      <w:pPr>
        <w:spacing w:line="600" w:lineRule="auto"/>
        <w:jc w:val="center"/>
        <w:rPr>
          <w:sz w:val="56"/>
          <w:szCs w:val="56"/>
          <w:rtl/>
          <w:lang w:bidi="ar-MA"/>
        </w:rPr>
      </w:pPr>
      <w:r>
        <w:rPr>
          <w:rFonts w:hint="cs"/>
          <w:sz w:val="56"/>
          <w:szCs w:val="56"/>
          <w:rtl/>
          <w:lang w:bidi="ar-MA"/>
        </w:rPr>
        <w:t>المجموعة : 2</w:t>
      </w:r>
    </w:p>
    <w:p w:rsidR="007C3EF1" w:rsidRPr="001D04FE" w:rsidRDefault="007C3EF1" w:rsidP="007C3EF1">
      <w:pPr>
        <w:pStyle w:val="Retraitcorpsdetexte"/>
        <w:spacing w:before="120" w:after="120" w:afterAutospacing="0" w:line="240" w:lineRule="auto"/>
        <w:jc w:val="thaiDistribute"/>
        <w:rPr>
          <w:rFonts w:cs="Arabic Transparent"/>
          <w:b/>
          <w:bCs/>
          <w:color w:val="000000"/>
          <w:sz w:val="26"/>
          <w:szCs w:val="26"/>
          <w:u w:val="single"/>
        </w:rPr>
      </w:pPr>
      <w:bookmarkStart w:id="0" w:name="_GoBack"/>
      <w:bookmarkEnd w:id="0"/>
    </w:p>
    <w:p w:rsidR="007C3EF1" w:rsidRDefault="007C3EF1" w:rsidP="007C3EF1">
      <w:pPr>
        <w:pStyle w:val="Retraitcorpsdetexte"/>
        <w:spacing w:before="120" w:after="120" w:afterAutospacing="0" w:line="240" w:lineRule="auto"/>
        <w:jc w:val="thaiDistribute"/>
        <w:rPr>
          <w:rFonts w:cs="خط مسعد المغربي"/>
          <w:b/>
          <w:bCs/>
          <w:color w:val="000000"/>
          <w:sz w:val="26"/>
          <w:szCs w:val="26"/>
          <w:u w:val="single"/>
          <w:rtl/>
        </w:rPr>
      </w:pPr>
    </w:p>
    <w:p w:rsidR="007C3EF1" w:rsidRPr="001D04FE" w:rsidRDefault="007C3EF1" w:rsidP="007C3EF1">
      <w:pPr>
        <w:pStyle w:val="Retraitcorpsdetexte"/>
        <w:spacing w:before="120" w:after="120" w:afterAutospacing="0" w:line="240" w:lineRule="auto"/>
        <w:jc w:val="thaiDistribute"/>
        <w:rPr>
          <w:rFonts w:cs="خط مسعد المغربي"/>
          <w:b/>
          <w:bCs/>
          <w:color w:val="000000"/>
          <w:sz w:val="26"/>
          <w:szCs w:val="26"/>
          <w:u w:val="single"/>
          <w:rtl/>
        </w:rPr>
      </w:pPr>
      <w:r w:rsidRPr="001D04FE">
        <w:rPr>
          <w:rFonts w:cs="خط مسعد المغربي" w:hint="cs"/>
          <w:b/>
          <w:bCs/>
          <w:color w:val="000000"/>
          <w:sz w:val="26"/>
          <w:szCs w:val="26"/>
          <w:u w:val="single"/>
          <w:rtl/>
        </w:rPr>
        <w:t xml:space="preserve">المطلب الثاني </w:t>
      </w:r>
      <w:r w:rsidRPr="001D04FE">
        <w:rPr>
          <w:rFonts w:cs="خط مسعد المغربي" w:hint="cs"/>
          <w:b/>
          <w:bCs/>
          <w:color w:val="000000"/>
          <w:sz w:val="26"/>
          <w:szCs w:val="26"/>
          <w:rtl/>
        </w:rPr>
        <w:t xml:space="preserve">: ميكانيزمات حماية حقوق الإنسان في المواثيق الإقليمية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سنتناول أهم هذه الأجهزة ودورها الحيوي في حماية حقوق الإنسان وذلك على النحو الآتي: </w:t>
      </w:r>
    </w:p>
    <w:p w:rsidR="007C3EF1" w:rsidRPr="001D04FE" w:rsidRDefault="007C3EF1" w:rsidP="007C3EF1">
      <w:pPr>
        <w:pStyle w:val="Retraitcorpsdetexte"/>
        <w:numPr>
          <w:ilvl w:val="0"/>
          <w:numId w:val="1"/>
        </w:numPr>
        <w:spacing w:before="120" w:after="120" w:afterAutospacing="0" w:line="240" w:lineRule="auto"/>
        <w:ind w:firstLine="567"/>
        <w:jc w:val="thaiDistribute"/>
        <w:rPr>
          <w:color w:val="000000"/>
          <w:sz w:val="26"/>
          <w:szCs w:val="26"/>
          <w:rtl/>
        </w:rPr>
      </w:pPr>
      <w:r w:rsidRPr="001D04FE">
        <w:rPr>
          <w:rFonts w:hint="cs"/>
          <w:color w:val="000000"/>
          <w:sz w:val="26"/>
          <w:szCs w:val="26"/>
          <w:rtl/>
        </w:rPr>
        <w:t xml:space="preserve">الفرع الأول :  أجهزة الاتفاقية الأوربية لحقوق الإنسان . </w:t>
      </w:r>
    </w:p>
    <w:p w:rsidR="007C3EF1" w:rsidRPr="001D04FE" w:rsidRDefault="007C3EF1" w:rsidP="007C3EF1">
      <w:pPr>
        <w:pStyle w:val="Retraitcorpsdetexte"/>
        <w:numPr>
          <w:ilvl w:val="0"/>
          <w:numId w:val="1"/>
        </w:numPr>
        <w:spacing w:before="120" w:after="120" w:afterAutospacing="0" w:line="240" w:lineRule="auto"/>
        <w:ind w:firstLine="567"/>
        <w:jc w:val="thaiDistribute"/>
        <w:rPr>
          <w:color w:val="000000"/>
          <w:sz w:val="26"/>
          <w:szCs w:val="26"/>
          <w:rtl/>
        </w:rPr>
      </w:pPr>
      <w:r w:rsidRPr="001D04FE">
        <w:rPr>
          <w:rFonts w:hint="cs"/>
          <w:color w:val="000000"/>
          <w:sz w:val="26"/>
          <w:szCs w:val="26"/>
          <w:rtl/>
        </w:rPr>
        <w:t xml:space="preserve">الفرع الثاني  : أجهزة الإتفاقية الأمريكية لحقوق الإنسان . </w:t>
      </w:r>
    </w:p>
    <w:p w:rsidR="007C3EF1" w:rsidRPr="001D04FE" w:rsidRDefault="007C3EF1" w:rsidP="007C3EF1">
      <w:pPr>
        <w:pStyle w:val="Retraitcorpsdetexte"/>
        <w:numPr>
          <w:ilvl w:val="0"/>
          <w:numId w:val="1"/>
        </w:numPr>
        <w:spacing w:before="120" w:after="120" w:afterAutospacing="0" w:line="240" w:lineRule="auto"/>
        <w:ind w:firstLine="567"/>
        <w:jc w:val="thaiDistribute"/>
        <w:rPr>
          <w:color w:val="000000"/>
          <w:sz w:val="26"/>
          <w:szCs w:val="26"/>
          <w:rtl/>
        </w:rPr>
      </w:pPr>
      <w:r w:rsidRPr="001D04FE">
        <w:rPr>
          <w:rFonts w:hint="cs"/>
          <w:color w:val="000000"/>
          <w:sz w:val="26"/>
          <w:szCs w:val="26"/>
          <w:rtl/>
        </w:rPr>
        <w:lastRenderedPageBreak/>
        <w:t xml:space="preserve">الفرع الثالث : تدابير الحماية في الميثاق الأفريقي لحقوق الإنسان والشعوب . </w:t>
      </w:r>
    </w:p>
    <w:p w:rsidR="007C3EF1" w:rsidRDefault="007C3EF1" w:rsidP="007C3EF1">
      <w:pPr>
        <w:pStyle w:val="Retraitcorpsdetexte"/>
        <w:spacing w:before="120" w:after="120" w:afterAutospacing="0" w:line="240" w:lineRule="auto"/>
        <w:jc w:val="thaiDistribute"/>
        <w:rPr>
          <w:b/>
          <w:bCs/>
          <w:i/>
          <w:iCs/>
          <w:color w:val="000000"/>
          <w:sz w:val="26"/>
          <w:szCs w:val="26"/>
          <w:u w:val="single"/>
          <w:rtl/>
        </w:rPr>
      </w:pPr>
    </w:p>
    <w:p w:rsidR="007C3EF1" w:rsidRDefault="007C3EF1" w:rsidP="007C3EF1">
      <w:pPr>
        <w:pStyle w:val="Retraitcorpsdetexte"/>
        <w:spacing w:before="120" w:after="120" w:afterAutospacing="0" w:line="240" w:lineRule="auto"/>
        <w:jc w:val="thaiDistribute"/>
        <w:rPr>
          <w:b/>
          <w:bCs/>
          <w:i/>
          <w:iCs/>
          <w:color w:val="000000"/>
          <w:sz w:val="26"/>
          <w:szCs w:val="26"/>
          <w:u w:val="single"/>
          <w:rtl/>
        </w:rPr>
      </w:pPr>
    </w:p>
    <w:p w:rsidR="007C3EF1" w:rsidRDefault="007C3EF1" w:rsidP="007C3EF1">
      <w:pPr>
        <w:pStyle w:val="Retraitcorpsdetexte"/>
        <w:spacing w:before="120" w:after="120" w:afterAutospacing="0" w:line="240" w:lineRule="auto"/>
        <w:jc w:val="thaiDistribute"/>
        <w:rPr>
          <w:b/>
          <w:bCs/>
          <w:i/>
          <w:iCs/>
          <w:color w:val="000000"/>
          <w:sz w:val="26"/>
          <w:szCs w:val="26"/>
          <w:u w:val="single"/>
          <w:rtl/>
        </w:rPr>
      </w:pPr>
    </w:p>
    <w:p w:rsidR="007C3EF1" w:rsidRPr="001D04FE" w:rsidRDefault="007C3EF1" w:rsidP="007C3EF1">
      <w:pPr>
        <w:pStyle w:val="Retraitcorpsdetexte"/>
        <w:spacing w:before="120" w:after="120" w:afterAutospacing="0" w:line="240" w:lineRule="auto"/>
        <w:jc w:val="thaiDistribute"/>
        <w:rPr>
          <w:b/>
          <w:bCs/>
          <w:i/>
          <w:iCs/>
          <w:color w:val="000000"/>
          <w:sz w:val="26"/>
          <w:szCs w:val="26"/>
          <w:rtl/>
        </w:rPr>
      </w:pPr>
      <w:r w:rsidRPr="001D04FE">
        <w:rPr>
          <w:rFonts w:hint="cs"/>
          <w:b/>
          <w:bCs/>
          <w:i/>
          <w:iCs/>
          <w:color w:val="000000"/>
          <w:sz w:val="26"/>
          <w:szCs w:val="26"/>
          <w:u w:val="single"/>
          <w:rtl/>
        </w:rPr>
        <w:t>الفرع الأول</w:t>
      </w:r>
      <w:r w:rsidRPr="001D04FE">
        <w:rPr>
          <w:rFonts w:hint="cs"/>
          <w:b/>
          <w:bCs/>
          <w:i/>
          <w:iCs/>
          <w:color w:val="000000"/>
          <w:sz w:val="26"/>
          <w:szCs w:val="26"/>
          <w:rtl/>
        </w:rPr>
        <w:t xml:space="preserve"> : أجهزة الاتفاقية الأوربية لحقوق الإنسان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رغم أن الاتفاقية الأوربية لحقوق الإنسان تتضمن لائحة قصيرة من الحقوق والحريات بالمقارنة مع المواثيق الدولية الأممية ، إلا أنها أكثر فعالية على صعيد وضعها حيز التنفيذ وضمان ممارستها عن طريق تأسيس أجهزة دولية للرقابة، تصدر قرارات ملزمة للدول الأعضاء .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وهذه الأجهزة التي أسستها الاتفاقية الأوربية لحقوق الإنسان تتمثل في </w:t>
      </w:r>
      <w:r>
        <w:rPr>
          <w:rFonts w:hint="cs"/>
          <w:color w:val="000000"/>
          <w:sz w:val="26"/>
          <w:szCs w:val="26"/>
          <w:rtl/>
        </w:rPr>
        <w:t>:</w:t>
      </w:r>
    </w:p>
    <w:p w:rsidR="007C3EF1" w:rsidRPr="001D04FE" w:rsidRDefault="007C3EF1" w:rsidP="007C3EF1">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الاولى </w:t>
      </w:r>
      <w:r w:rsidRPr="001D04FE">
        <w:rPr>
          <w:rFonts w:hint="cs"/>
          <w:b/>
          <w:bCs/>
          <w:color w:val="000000"/>
          <w:sz w:val="26"/>
          <w:szCs w:val="26"/>
          <w:rtl/>
        </w:rPr>
        <w:t>: المحكمة الأوربية لحقوق الإنسان</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تعتبر المحكمة الأوربية لحقوق الإنسان الجهاز الدولي الثاني الذي أسسته الاتفاقية لضمان احترام وصيانة الحقوق والحريات الواردة فيها ، فتقسم بذلك مع اللجنة الأوربية مهام مراقبة مدى التزام الدول بالتعهدات التي ارتضتها.</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على أن هذه المحكمة لم تباشر عملها إلى في عام 1959 ، وذلك بعد أن قبلت ثماني دول بالصلاحية الإلزامية لأحكام المحكمة عملا بما نصت عليه المادة (56)  من الاتفاقية الأوربية ، وقد تثم استكمال هذا الشرط في سبتمبر من عام1958 </w:t>
      </w:r>
      <w:r w:rsidRPr="001D04FE">
        <w:rPr>
          <w:rStyle w:val="Appelnotedebasdep"/>
          <w:color w:val="000000"/>
          <w:sz w:val="26"/>
          <w:szCs w:val="26"/>
          <w:rtl/>
        </w:rPr>
        <w:footnoteReference w:id="2"/>
      </w:r>
      <w:r w:rsidRPr="001D04FE">
        <w:rPr>
          <w:rFonts w:hint="cs"/>
          <w:color w:val="000000"/>
          <w:sz w:val="26"/>
          <w:szCs w:val="26"/>
          <w:rtl/>
        </w:rPr>
        <w:t>.</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وتتألف هذه المحكمة من عدد من القضاة مساو لعدد الدول الأعضاء في مجلس أوربا</w:t>
      </w:r>
      <w:r w:rsidRPr="001D04FE">
        <w:rPr>
          <w:rStyle w:val="Appelnotedebasdep"/>
          <w:color w:val="000000"/>
          <w:sz w:val="26"/>
          <w:szCs w:val="26"/>
          <w:rtl/>
        </w:rPr>
        <w:footnoteReference w:id="3"/>
      </w:r>
      <w:r w:rsidRPr="001D04FE">
        <w:rPr>
          <w:rFonts w:hint="cs"/>
          <w:color w:val="000000"/>
          <w:sz w:val="26"/>
          <w:szCs w:val="26"/>
          <w:rtl/>
        </w:rPr>
        <w:t xml:space="preserve"> ، ويلاحظ بأنه على خلاف اللجنة لا يحدد عدد أعضاء المحكمة بعدد الدول الأطراف في المعاهدة ، لا يجوز أن تضم أكثر من عضو واحد يحمل نفس الجنسية</w:t>
      </w:r>
      <w:r w:rsidRPr="001D04FE">
        <w:rPr>
          <w:rStyle w:val="Appelnotedebasdep"/>
          <w:color w:val="000000"/>
          <w:sz w:val="26"/>
          <w:szCs w:val="26"/>
          <w:rtl/>
        </w:rPr>
        <w:footnoteReference w:id="4"/>
      </w:r>
      <w:r w:rsidRPr="001D04FE">
        <w:rPr>
          <w:rFonts w:hint="cs"/>
          <w:color w:val="000000"/>
          <w:sz w:val="26"/>
          <w:szCs w:val="26"/>
          <w:rtl/>
        </w:rPr>
        <w:t xml:space="preserve"> ، ولكن يمكن لأعضاء غير أوربيين الانتماء إلى المحكمة كما هو الحال بالنسبة للأستاذ الكندي " ماك دونالد" </w:t>
      </w:r>
      <w:r w:rsidRPr="001D04FE">
        <w:rPr>
          <w:color w:val="000000"/>
          <w:sz w:val="26"/>
          <w:szCs w:val="26"/>
        </w:rPr>
        <w:t>Mac-Dounald</w:t>
      </w:r>
      <w:r w:rsidRPr="001D04FE">
        <w:rPr>
          <w:rFonts w:hint="cs"/>
          <w:color w:val="000000"/>
          <w:sz w:val="26"/>
          <w:szCs w:val="26"/>
          <w:rtl/>
        </w:rPr>
        <w:t xml:space="preserve"> الذي تم اقتراحه من قبل دول لنشتنشتاني  والذي انتخب كقاضي في سنة1980 </w:t>
      </w:r>
      <w:r w:rsidRPr="001D04FE">
        <w:rPr>
          <w:rStyle w:val="Appelnotedebasdep"/>
          <w:color w:val="000000"/>
          <w:sz w:val="26"/>
          <w:szCs w:val="26"/>
          <w:rtl/>
        </w:rPr>
        <w:footnoteReference w:id="5"/>
      </w:r>
      <w:r w:rsidRPr="001D04FE">
        <w:rPr>
          <w:rFonts w:hint="cs"/>
          <w:color w:val="000000"/>
          <w:sz w:val="26"/>
          <w:szCs w:val="26"/>
          <w:rtl/>
        </w:rPr>
        <w:t>.</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ويتم اختيار قضاة المحكمة، بطريق الانتخاب الذي تقوم به الجمعية الاستشارية لمجلس أوربا ، بأغلبية الأصوات المعبر عنها ، وذلك من بين أسماء مرشحين مدرجة في قائمة يقدمها أعضاء مجلس أوربا ، حيث يحق لكل دولة اقتراح ثلاثة مرشحين ، على أن يكون اثنان على الأقل من جنسيتها</w:t>
      </w:r>
      <w:r w:rsidRPr="001D04FE">
        <w:rPr>
          <w:rStyle w:val="Appelnotedebasdep"/>
          <w:color w:val="000000"/>
          <w:sz w:val="26"/>
          <w:szCs w:val="26"/>
          <w:rtl/>
        </w:rPr>
        <w:footnoteReference w:id="6"/>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ويتم انتخاب قضاة المحكمة لمدة تسع سنوات ، ويجوز إعادة انتخابهم بعد انتهاء هذه المدة، ويجدد ثلث أعضاء المحكمة كل ثلاث سنوات ، غير أنه في الانتخاب الأول للقضاة تم تحديد ولاية أربعة أعضاء في ثلاث </w:t>
      </w:r>
      <w:r w:rsidRPr="001D04FE">
        <w:rPr>
          <w:rFonts w:hint="cs"/>
          <w:color w:val="000000"/>
          <w:sz w:val="26"/>
          <w:szCs w:val="26"/>
          <w:rtl/>
        </w:rPr>
        <w:lastRenderedPageBreak/>
        <w:t xml:space="preserve">سنوات وولاية أربعة آخرين في ست سنوات ، أما في حالة شغور أحد مقاعد المحكمة ، فيتم تعيين العضو الجديد بنفس الطريقة ليحل محل العضو السابق ولقضاء المدة المتبقية لسلفه </w:t>
      </w:r>
      <w:r w:rsidRPr="001D04FE">
        <w:rPr>
          <w:rStyle w:val="Appelnotedebasdep"/>
          <w:color w:val="000000"/>
          <w:sz w:val="26"/>
          <w:szCs w:val="26"/>
          <w:rtl/>
        </w:rPr>
        <w:footnoteReference w:id="7"/>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ويشترط في قضاة المحكمة أن يكونوا من رجـــال القانون الذائعي الصيت والشهرة ويتمتعون بصفات أخلاقية سامية وحائزين للمؤهلات المطلوبة لشغل أعلى الوظائف القضائية ويتمتع هؤلاء القضاة بكل الضمانات والحصانات والامتيازات التي حددتها (المادة 40) من القانون الأساسي لمجلس أوربا والاتفاقيات المبرمة طبقا لهذه المادة</w:t>
      </w:r>
      <w:r w:rsidRPr="001D04FE">
        <w:rPr>
          <w:rStyle w:val="Appelnotedebasdep"/>
          <w:color w:val="000000"/>
          <w:sz w:val="26"/>
          <w:szCs w:val="26"/>
          <w:rtl/>
        </w:rPr>
        <w:footnoteReference w:id="8"/>
      </w:r>
      <w:r w:rsidRPr="001D04FE">
        <w:rPr>
          <w:rFonts w:hint="cs"/>
          <w:color w:val="000000"/>
          <w:sz w:val="26"/>
          <w:szCs w:val="26"/>
          <w:rtl/>
        </w:rPr>
        <w:t xml:space="preserve"> ، ويمكن لأعضاء المحكمة مزاولة مهام أخرى على أساس ألا تكون متناقضة أو متنافية مع مستلزمات الاستقلال والحياد والتفرغ لولايتهم </w:t>
      </w:r>
      <w:r w:rsidRPr="001D04FE">
        <w:rPr>
          <w:rStyle w:val="Appelnotedebasdep"/>
          <w:color w:val="000000"/>
          <w:sz w:val="26"/>
          <w:szCs w:val="26"/>
          <w:rtl/>
        </w:rPr>
        <w:footnoteReference w:id="9"/>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Pr>
      </w:pPr>
      <w:r w:rsidRPr="001D04FE">
        <w:rPr>
          <w:rFonts w:hint="cs"/>
          <w:color w:val="000000"/>
          <w:sz w:val="26"/>
          <w:szCs w:val="26"/>
          <w:rtl/>
        </w:rPr>
        <w:t xml:space="preserve">تعين المحكمة رئيس لها ونائبا له أو نائبين اثنين لمدة ثلاث سنوات قابلة للتجديد ،ويوجد مقر المحكمة الأوربية لحقوق الإنسان بمدينة ستراسبورغ بفرنسا ، وتعقد المحكمة جلساتها تبعا لاستدعاء رئيسها في كل مرة تتطلب مهمتها ذلك ، كما تجتمع بناء على طلب ثلث أعضائها مرة واحدة على الأقل في السنة.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وعلى خلاف نظام اللجنة الأوربية لحقوق الإنسان ، فإن جلسات المحكمة الأوربية تكون علنية إلا إذا إرتأت المحكمة غير ذلك في حالات استثنائية ، وتتخذ المحكمة قراراتها بأغلبية القضاة الحاضرين ، وفي حالة تعادل الأصوات ترجح كفة الرئيس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تتوفر المحكمة الأوربية على ديوان يسيره كاتب تكمن مهمته في نشر الأحكام والوثائق الصادرة عنها ، ولا يوجد في الاتفاقية أي بند ينظم تشكيل الديوان ، لكن المادة (11) والمادة (12) من قانونها الداخلي تنصان على أن المحكمة تعين كاتبها ونائبه لمدة سبع سنوات ، بعد أخذ رأي السكرتير العام لمجلس أوربا </w:t>
      </w:r>
      <w:r w:rsidRPr="001D04FE">
        <w:rPr>
          <w:rStyle w:val="Appelnotedebasdep"/>
          <w:color w:val="000000"/>
          <w:sz w:val="26"/>
          <w:szCs w:val="26"/>
          <w:rtl/>
        </w:rPr>
        <w:footnoteReference w:id="10"/>
      </w:r>
      <w:r w:rsidRPr="001D04FE">
        <w:rPr>
          <w:rFonts w:hint="cs"/>
          <w:color w:val="000000"/>
          <w:sz w:val="26"/>
          <w:szCs w:val="26"/>
          <w:rtl/>
        </w:rPr>
        <w:t>، وتتمتع هذه المصلحة باستقلال تام اتجاه سكرتارية مجلس أوربا</w:t>
      </w:r>
      <w:r w:rsidRPr="001D04FE">
        <w:rPr>
          <w:rStyle w:val="Appelnotedebasdep"/>
          <w:color w:val="000000"/>
          <w:sz w:val="26"/>
          <w:szCs w:val="26"/>
          <w:rtl/>
        </w:rPr>
        <w:footnoteReference w:id="11"/>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وعلى خلاف اللجنة الأوربية لحقوق الإنسان لا يحق للأفراد والمنظمات غير الحكومية المثول أمام المحكمة أو حتى اللجوء إليها في قضية تتصل بالحقوق المقررة في الاتفاقية ، فالفرد في مثل هذه الحالة يعد موضوعا في القضية وليس شخصا أو طرفا فيها ، وهذا ما أكدته المادة (84) بتقريرها أنه يمكن إخطار المحكمة في قضية معينة من طرف اللجنة الأوربية لحقوق الإنسان أو الطرف الذي قدمت ضده الشكوى.</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إذن نلاتحظ بأن المادة (48) من الاتفاقية قد طبقت القاعدة التقليدية في القانون الدولي العام، والتي لا تخول للأفراد حق إخطار المحكمة ، إلا أن هذه الثغرة قم تم سدها مؤخرا بموجب البروتوكول عدد (11)</w:t>
      </w:r>
      <w:r w:rsidRPr="001D04FE">
        <w:rPr>
          <w:rStyle w:val="Appelnotedebasdep"/>
          <w:color w:val="000000"/>
          <w:sz w:val="26"/>
          <w:szCs w:val="26"/>
          <w:rtl/>
        </w:rPr>
        <w:footnoteReference w:id="12"/>
      </w:r>
      <w:r w:rsidRPr="001D04FE">
        <w:rPr>
          <w:rFonts w:hint="cs"/>
          <w:color w:val="000000"/>
          <w:sz w:val="26"/>
          <w:szCs w:val="26"/>
          <w:rtl/>
        </w:rPr>
        <w:t xml:space="preserve"> والذي تم إقراره في ماي 1994 ، رغم عدم توقيعه والمصادقة عليه من طرف جميع الدول التي هي أطراف في الاتفاقية أقر مسطرة جديدة تمكن الأفراد من اللجوء إلى المحكمة مباشرة.</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وعلى ذلك يكون عرض المشكلة أمام اللجنة الأوربية لحقوق الإنسان إجراءا لازما مسبق قبل أن تحال إلى المحكمة.</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ما سبق يتعلق بحق اللجوء والمثول أمام المحكمة بشأن قضية من القضايا ، وقد أضاف البروتوكول الثاني الملحق بالاتفاقية والذي دخل حيز التنفيذ في 21 سبتمبر 1970 الاعتراف للجنة الوزراء وحدها بحق التقدم إلى المحكمة بطلب رأي استشاري</w:t>
      </w:r>
      <w:r w:rsidRPr="001D04FE">
        <w:rPr>
          <w:rStyle w:val="Appelnotedebasdep"/>
          <w:color w:val="000000"/>
          <w:sz w:val="26"/>
          <w:szCs w:val="26"/>
          <w:rtl/>
        </w:rPr>
        <w:footnoteReference w:id="13"/>
      </w:r>
      <w:r w:rsidRPr="001D04FE">
        <w:rPr>
          <w:rFonts w:hint="cs"/>
          <w:color w:val="000000"/>
          <w:sz w:val="26"/>
          <w:szCs w:val="26"/>
          <w:rtl/>
        </w:rPr>
        <w:t xml:space="preserve"> بناء على قرار بأغلبية أعضائها</w:t>
      </w:r>
      <w:r w:rsidRPr="001D04FE">
        <w:rPr>
          <w:rStyle w:val="Appelnotedebasdep"/>
          <w:color w:val="000000"/>
          <w:sz w:val="26"/>
          <w:szCs w:val="26"/>
          <w:rtl/>
        </w:rPr>
        <w:footnoteReference w:id="14"/>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 xml:space="preserve">وفي مجال الرقابة على أحكام الاتفاقية الأوربية لحماية حقوق الإنسان، فإن للمحكمة دورا أساسيا يمكن تلسمه من خلال اختصاصين رئيسيين : اختصاص قضائي وآخر استشاري.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أما الاختصاص القضائي فبمقتضاه يتم الفصل في المسائل المعروضة عليها بقرارات ملزمة ، وهو الاختصاص الأصيل للمحكمة الذي منح لها بموجب نص الاتفاقية (المادة 45)  حيث يشمل جميع القضايا المتعلقة بحقوق الإنسان المنصوص عليها في الاتفاقية وفي البروتوكولات الملحقة بها ، أي في كل ما يتعلق بتفسير وتطبيق الاتفاقية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وحتى تكون أحكام المحكمة ملزمة بحكم القانون يجب أن تعلن الدول الأطراف اعترافها بقضاء المحكمة واختصاصها ويجوز أن يكون هذا الإعلان مطلقا كما يجوز أن يكون مقيدا بشرط ، أو شريطة المعاملة بالمثل ، أو لمدة معينة ، أو في نازلة خاصة.</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وتودع هذه الإعلانات لدى السكرتير العام لمجلس أوربا ، ويجب عليه  أن يرسل نسخا منها إلى الأطراف السامية المتعاقدة ويعود للمحكمة الأوربية الفصل في حالة المنازعة في اختصاصها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ومن الجدير بالذكر أنه إلى غاية 1991 اعترفت كل الدول الأعضاء في مجلس أوربا بالاختصاص الإجباري للمحكمة الأوربية لحقوق الإنسان ، وآخر دولة اعترفت بذلك هي تركيا</w:t>
      </w:r>
      <w:r w:rsidRPr="001D04FE">
        <w:rPr>
          <w:rStyle w:val="Appelnotedebasdep"/>
          <w:color w:val="000000"/>
          <w:sz w:val="26"/>
          <w:szCs w:val="26"/>
          <w:rtl/>
        </w:rPr>
        <w:footnoteReference w:id="15"/>
      </w:r>
      <w:r w:rsidRPr="001D04FE">
        <w:rPr>
          <w:rFonts w:hint="cs"/>
          <w:color w:val="000000"/>
          <w:sz w:val="26"/>
          <w:szCs w:val="26"/>
          <w:rtl/>
        </w:rPr>
        <w:t>.</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ويتعين الإشارة إلى أنه لا يجوز عرض أي قضية على المحكمة بدءا أي بمجرد المشكلة ، وإنما يتعين أن تكون اللجنة قد قامت ببحثها ودراستها وتبين لها عدم إمكان التوصل إلى التراضي بشأنها ، ثم يتعين بعد ذلك إشعار المحكمة من قبل اللجنة أو من قبل الدولة الطرف خلال أجل ثلاثة اشهر من تاريخ توجيه التقرير إلى لجنة الوزراء المادة (48 من الاتفاقية الأوربية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أما الاختصاص الاستشاري الذي منح للمحكمة بموجب المادة الأولى من البروتوكول الثاني ، فيقصد به حق المحكمة في إعطاء آراء استشارية غير ملزمة من الناحية القانونية ، وإنما ينحصر دور المحكمة في تقديم المعلومات والمبادئ حول قضية  معينة ، وينحصر هذا الاختصاص الاستشاري في المسائل القانونية المتعلقة بتفسير الاتفاقية ولا يمتد إلى المسائل المتعلقة بمضمون الحقوق والحريات الواردة في الاتفاقية والبروتوكولات الملحقة بها ولا في المواضيع التي يمكن أن تتخذ فيها قرارات أو تنظر فيها لجنة الوزراء واللجنة خلال الدعاوي المنصوص عليها في الاتفاقية (المادة الأولى الفقرة 3).</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وربما يعود ذلك إلى الرغبة في منع المحكمة من إعطاء آراء مسبقة حول مضمون الحقوق والحريات الواردة في الاتفاقية ، بما قد يؤثر على أجهزة الرقابة ويتيح الفرصة للدول للتهرب من تعهداتها</w:t>
      </w:r>
      <w:r w:rsidRPr="001D04FE">
        <w:rPr>
          <w:rStyle w:val="Appelnotedebasdep"/>
          <w:color w:val="000000"/>
          <w:sz w:val="26"/>
          <w:szCs w:val="26"/>
          <w:rtl/>
        </w:rPr>
        <w:footnoteReference w:id="16"/>
      </w:r>
      <w:r w:rsidRPr="001D04FE">
        <w:rPr>
          <w:rFonts w:hint="cs"/>
          <w:color w:val="000000"/>
          <w:sz w:val="26"/>
          <w:szCs w:val="26"/>
          <w:rtl/>
        </w:rPr>
        <w:t xml:space="preserve"> وهناك اختصاص آخر للمحكمة يعتبر مبدأ عاما من مبادئ التنظيم القضائي الدولي، وهو أن للمحكمة صلاحيات تحديد اختصاصها ، وقد نصت عليه المادة (49) بتقريرها أنه : "في حالة المنازعة في اختصاص المحكمة ، تفصل المحكمة في الأمر" وتطبق المحكمة في نظرها القضايا المعروضة عليها والمسائل المطلوب منها إعطاء رأي استشاري بشأنها أحكام الاتفاقية الأوربية لحقوق الإنسان وبروتوكولاتها الملحقة.</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بعد عرض القضية على المحكمة فإن هذه الأخيرة تكون غرفة مكونة من تسعة أعضاء </w:t>
      </w:r>
      <w:r w:rsidRPr="001D04FE">
        <w:rPr>
          <w:rStyle w:val="Appelnotedebasdep"/>
          <w:color w:val="000000"/>
          <w:sz w:val="26"/>
          <w:szCs w:val="26"/>
          <w:rtl/>
        </w:rPr>
        <w:footnoteReference w:id="17"/>
      </w:r>
      <w:r w:rsidRPr="001D04FE">
        <w:rPr>
          <w:rFonts w:hint="cs"/>
          <w:color w:val="000000"/>
          <w:sz w:val="26"/>
          <w:szCs w:val="26"/>
          <w:rtl/>
        </w:rPr>
        <w:t xml:space="preserve">، تضم إجباريا قاضيا يحمل جنسية الطرف المعنى بالنزاع ، وفي حالة تعذر حضوره أو وجود مانع يتعين على الدولة المعنية إما تعيين قاض آخر من بين القضاة أو قاض خاص في هذه القضية والذي يجب أن تتوفر فيه نفس الشروط المطلوبة </w:t>
      </w:r>
      <w:r w:rsidRPr="001D04FE">
        <w:rPr>
          <w:rFonts w:hint="cs"/>
          <w:color w:val="000000"/>
          <w:sz w:val="26"/>
          <w:szCs w:val="26"/>
          <w:rtl/>
        </w:rPr>
        <w:lastRenderedPageBreak/>
        <w:t>في تعيين قضاة المحكمة ، وتضم أيضا رئيس المحكمة أو نائبه ، أما القضاة الآخرون في الغرفة فيعينون من طرف رئيس المحكمة عن طريق القرعة</w:t>
      </w:r>
      <w:r w:rsidRPr="001D04FE">
        <w:rPr>
          <w:rStyle w:val="Appelnotedebasdep"/>
          <w:color w:val="000000"/>
          <w:sz w:val="26"/>
          <w:szCs w:val="26"/>
          <w:rtl/>
        </w:rPr>
        <w:footnoteReference w:id="18"/>
      </w:r>
      <w:r w:rsidRPr="001D04FE">
        <w:rPr>
          <w:rFonts w:hint="cs"/>
          <w:color w:val="000000"/>
          <w:sz w:val="26"/>
          <w:szCs w:val="26"/>
          <w:rtl/>
        </w:rPr>
        <w:t>.</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على أنه من الممكن أن تتنازل الغرفة عن القضية لصالح المحكمة بكامل أعضائها إذا كانت القضية تتعلق بتفسير الاتفاقية الأوربية لحقوق الإنسان ، ويكون هذا التنازل إلزاميا إذا كان حل إحدى مشكلات القضية سيؤدي إلى حدوث تناقض مع قرار سابق للغرفة أو المحكمة (المادة 50، الفقرة 1 من النظام الداخلي)</w:t>
      </w:r>
      <w:r w:rsidRPr="001D04FE">
        <w:rPr>
          <w:rStyle w:val="Appelnotedebasdep"/>
          <w:color w:val="000000"/>
          <w:sz w:val="26"/>
          <w:szCs w:val="26"/>
          <w:rtl/>
        </w:rPr>
        <w:footnoteReference w:id="19"/>
      </w:r>
      <w:r w:rsidRPr="001D04FE">
        <w:rPr>
          <w:rFonts w:hint="cs"/>
          <w:color w:val="000000"/>
          <w:sz w:val="26"/>
          <w:szCs w:val="26"/>
          <w:rtl/>
        </w:rPr>
        <w:t>.</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تقوم المحكمة أو غرفتها بدراسة القضية المعروضة عليها بناء على تقرير اللجنة الأوربية الذي لا يقيد المحكمة بالحلول المقترحة وحتى في الوقائع التي تم إثباتها سابقا ، بمعنى آخر ، تتبع المحكمة مسطرة جديدة تتلخص في نقطتين :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مرحلة المسطرة الكتابية : يقوم خلالها الأطراف واللجنة الأوربية بعرض لجميع الوثائق والملاحظات والحجج والآراء التي يتوفرون عليها ، والمرحلة الثانية شفوية ، وتقوم خلالها المحكمة باستجواب كل شخـــص من شأن شهادتـــه أو خبرته أو تصريحاته أن تفيد المحكمة وتساعدها على أداء مهمتها ، والاستماع إلى أعوان ومستشاري ومحامي أطراف النزاع لآرائهم وكذلك مندوبي اللجنة الأوربية أو أعضائها وكل الأشخاص المعنيين والذين يمثلون أمام المحكمة</w:t>
      </w:r>
      <w:r w:rsidRPr="001D04FE">
        <w:rPr>
          <w:rStyle w:val="Appelnotedebasdep"/>
          <w:color w:val="000000"/>
          <w:sz w:val="26"/>
          <w:szCs w:val="26"/>
          <w:rtl/>
        </w:rPr>
        <w:footnoteReference w:id="20"/>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بالرغم من أن الاتفاقية لا تعترف إلا بطرف رئيسي وهي الدولة المدعى عليها، فإن اجتهادات المحكمة واللجنة وقوانينها الداخلية كذلك سمحت بتمكين الطرف الثاني أو ممثلوه بالمثول أمام المحكمة كشاهد أو مساعد اللجنة الأوربية لحقوق الإنسان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ومن أجل إعطاء فعالية أكثر للمسطرة أمام المحكمة ، قررت هذه الأخيرة من خلال نظامها الداخلي والمعدل سنة 1983 أن تتبنى علاقات مباشرة بين الأطراف المعنية أي الدول والخواص ، وهكذا تم الاعتراف للخواص بحق المشاركة مباشرة في المسطرة</w:t>
      </w:r>
      <w:r w:rsidRPr="001D04FE">
        <w:rPr>
          <w:rStyle w:val="Appelnotedebasdep"/>
          <w:color w:val="000000"/>
          <w:sz w:val="26"/>
          <w:szCs w:val="26"/>
          <w:rtl/>
        </w:rPr>
        <w:footnoteReference w:id="21"/>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ومن الجدير بالذكر أن مهام اللجنة لا تنتهي بمجرد إحالة التقرير إلى لجنة الوزراء ، وإحالة القضية على أنظار المحكمة ، وإنما تستمر في فحص الدعوى حتى إذا كانت هذه الأخيرة تحت أنظار المحكمة ، كما أن اللجنة تشارك بشكل أساسي في المرافعة أمام المحكمة ، بل وجودها في المرافعة يعتبر أمرا ضروريا لتسهيل مهمة المحكمة في اتخاذ حكم معين.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ونظرا لكون اللجنة هي التي قامت بإعداد التقرير الذي يمكنها أن تؤوله أو تفسره في حالة وجود غموض ، وهي التي قامت كذلك بالبحث والتحقيق لمعرفة كل جوانب الدعوى فدورها يبقى أساسيا لتقديم كل المساعدات والإيضاحات للمحكمة ، بالإضافة إلى ذلك ، يمكن للجنة أن تبقى على اتصال مع أطراف النزاع من أجل التوصل إلى إتفاق مرضي بينهما يكفل احترام حقوق الإنسان والحريات الأساسية، وعند نجاحها في ذلك يتم إخطار الدائرة التي تنظر في الدعوى لتقوم بدورها بعد أخذ رأي اللجنة بشطب الدعوى من جدول القضايا المعروضة عليها وذلك عن طريق إصدار حكم قضائي في هذا الخصوص ويبلغ الحكم إلى لجنة الوزراء التي تتولى بمقتضى المادة (54)  من الاتفاقية الأوربية لحقوق الإنسان ، الإشراف على تنفيذه (المادة 48، الفقرة 3 من القانون الداخلي).</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 يمكن للطرف المدعي التنازل عن دعواه ، في هذه الحالة يمكن للمحكمة ، إذا لم تجد في ذلك ما يتعارض مع مسؤولياتها في ضمان احترام التعهدات التي تقع على عاتق الأطراف المتعاقدة الموقعة على الاتفاقية الأوربية ، أن تقرر شطب الدعوى من جدول القضايا المعروضة عليها ، وتبليغه إلى لجنة الوزراء التي تصبح مختصة بمراقبة تطبيق الحلول المرضية ، ويمكن للغرفة أو المحكمة طبقا (للمادة 47، الفقرة 1 و 3 من نظامها الداخلي </w:t>
      </w:r>
      <w:r w:rsidRPr="001D04FE">
        <w:rPr>
          <w:rFonts w:hint="cs"/>
          <w:color w:val="000000"/>
          <w:sz w:val="26"/>
          <w:szCs w:val="26"/>
          <w:rtl/>
        </w:rPr>
        <w:lastRenderedPageBreak/>
        <w:t>)الاستمرار في فحص ودراسة الدعوى المعروضة عليها على الرغم من التوصل إلى حل ودي أو تنازل الطاعن عن دعواه (المادة 48، الفقرة 4 من النظام الداخلي)</w:t>
      </w:r>
      <w:r w:rsidRPr="001D04FE">
        <w:rPr>
          <w:color w:val="000000"/>
          <w:sz w:val="26"/>
          <w:szCs w:val="26"/>
        </w:rPr>
        <w:t>.</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تتمثل النهاية الطبيعية للمسطرة في الحكم الذي تصدره المحكمة والذي يجب أن يكون في كل الأحوال معللا ويحق لكل قاض أن يرفق الحكم بعرض لرأيه الشخصي، سواء أكان قد صوت لصالح الحكم أو ضده ، يجب أيضا أن يتضمن إجباريا مجموعة من البيانات  التي توحي  بأن الحكم صادر فعلا عن سلطة قضائية مختصة ، ويبلغ هذا الحكم بعد ذلك إلى لجنة الوزراء التي تتولى بمقتضى المادة (54) من الاتفاقية الأوربية لحقوق الإنسان الإشراف على تنفيذه.</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ويعتبر حكم المحكمة نهائيا وإلزاميا للاطراف المعنية ، ومتى انتهت المحكمة إلى ثبوت خرق دولة ما لأحكام الاتفاقية الأوربية لحقوق الإنسان فعلى هذه الدولة أن تتخذ من الإجراءات ما يجعل قوانينها الداخلية مطابقة لقرارات المحكمة ويضمن إعادة الاحترام الواجب للاتفاقية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إذا كانت الاتفاقية الأوربية في مادتها (53)  تنص على أنه : " تتعهد الدول السامية المتعاقدة بمراعاة قرارات المحكمة في المنازعات التي تكون هذه الدول طرفا فيها" فإن المحكمة لا تملك سلطة تسمح لها بإعطاء آوامر  أو اتخاذ تدابير عقابية ضد الدولة المعنية ، لذلك فالجهاز المكلف بالرقابة على تطبيق أحكام المحكمة هي لجنة الوزراء التي لها الصلاحيات الكاملة لتقرير ما تراه مناسبا من إجراءات قد تصل إلى حد تعليق عضوية هذه الدولة أو طردها من مجلس أوربا.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ومن الجدير بالذكر أن نشير إلى أنه إذا كانت أحكام المحكمة نهائية فهذا لا يعني عدم إمكانية مراجعتها أو تفسيرها إذا قدم طلبا للتفسير (المادة 56 من النظام الداخلي) أو طلبا للمراجعة (المادة 57) ، بحيث يحق لكل طرف من أطراف الدعوى واللجنة الأوربية أيضا تقديم طلب لتفسير وتأويل حكم صادر من المحكمة خلال ثلاثة سنوات من تاريخ صدور الحكم </w:t>
      </w:r>
      <w:r w:rsidRPr="001D04FE">
        <w:rPr>
          <w:rStyle w:val="Appelnotedebasdep"/>
          <w:color w:val="000000"/>
          <w:sz w:val="26"/>
          <w:szCs w:val="26"/>
          <w:rtl/>
        </w:rPr>
        <w:footnoteReference w:id="22"/>
      </w:r>
      <w:r w:rsidRPr="001D04FE">
        <w:rPr>
          <w:rFonts w:hint="cs"/>
          <w:color w:val="000000"/>
          <w:sz w:val="26"/>
          <w:szCs w:val="26"/>
          <w:rtl/>
        </w:rPr>
        <w:t>، يجب أن يوضح الطلب النقط والحيثيات الواجب تأويلها ، كما أنه في حالة اكتشاف واقعة في الدعوة من شأنها أن تؤثر بشكل حاسم على مصداقية ومضمون الحكم ، وتكون هذه الواقعة مجهولة عند صدور الحكم من طرف المحكمة أو أي طرف من أطراف الدعوى أو اللجنة، فإنه يحق لأي طرف من أطراف الدعوى وللجنة أيضا التقدم بطلب في خلال ستة أشهر من تاريخ معرفة تلك الواقعة الجديدة ، إلى المحكمة من أجل مراجعة الحكم المعني.</w:t>
      </w:r>
    </w:p>
    <w:p w:rsidR="007C3EF1" w:rsidRPr="001D04FE" w:rsidRDefault="007C3EF1" w:rsidP="007C3EF1">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الثانية </w:t>
      </w:r>
      <w:r w:rsidRPr="001D04FE">
        <w:rPr>
          <w:rFonts w:hint="cs"/>
          <w:b/>
          <w:bCs/>
          <w:color w:val="000000"/>
          <w:sz w:val="26"/>
          <w:szCs w:val="26"/>
          <w:rtl/>
        </w:rPr>
        <w:t>: لجنة الوزراء بأوربا</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تعتبر لجنة الوزراء إحدى الهيئات التابعة لمجلس أوربا، المكلفة بضمان احترام حقوق الإنسان والسهر على مراقبة الدول لتنفيذ التزاماتها الاتفاقية ، كما تعتبر من بين الأجهزة الرئيسية الأصلية التي تسهر على تنفيذ السياسة العامة لهذه الأخيرة في جميع الميادين  ،  لقد تأسست هذه الهيئة في عام 1949 ، وساهمت بشكل فعال إلى جانب الجمعية الاستشارية لمجلس أوربا في صياغة مشروع اتفاقية حقوق الإنسان وتبنيها من قبل الدول الأعضاء في مجلس أوربا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وتتألف هذه اللجنة من ممثلي كل الدول الأعضاء في مجلس أوربا والذين غالبا ما يكونون وزراء للشؤون الخارجية للدول الأعضاء في المجلس، لا تضم إذن هذه اللجنة الدول الأعضاء فقط في الاتفاقية .</w:t>
      </w:r>
    </w:p>
    <w:p w:rsidR="007C3EF1"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تجتمع لجنة الوزراء ، مبدئيا مرتين في السنة، ولكن يمكن أن تعقد جل</w:t>
      </w:r>
      <w:r>
        <w:rPr>
          <w:rFonts w:hint="cs"/>
          <w:color w:val="000000"/>
          <w:sz w:val="26"/>
          <w:szCs w:val="26"/>
          <w:rtl/>
        </w:rPr>
        <w:t>سات غير عادية في ظروف استثنائية</w:t>
      </w:r>
      <w:r w:rsidRPr="001D04FE">
        <w:rPr>
          <w:rFonts w:hint="cs"/>
          <w:color w:val="000000"/>
          <w:sz w:val="26"/>
          <w:szCs w:val="26"/>
          <w:rtl/>
        </w:rPr>
        <w:t>، وتصدر أهم توصياتها وقراراتها بالإجماع ، باستثناء القرارات المتخذة في مجال قبول أعضاء جدد، أو الميزانية والتنظيم الداخلي وحقوق الإنسان فإنها تتخذ قراراتها بأغلبية ثلثي الأعضاء الحاضرين</w:t>
      </w:r>
      <w:r w:rsidRPr="001D04FE">
        <w:rPr>
          <w:rStyle w:val="Appelnotedebasdep"/>
          <w:color w:val="000000"/>
          <w:sz w:val="26"/>
          <w:szCs w:val="26"/>
          <w:rtl/>
        </w:rPr>
        <w:footnoteReference w:id="23"/>
      </w:r>
      <w:r w:rsidRPr="001D04FE">
        <w:rPr>
          <w:rFonts w:hint="cs"/>
          <w:color w:val="000000"/>
          <w:sz w:val="26"/>
          <w:szCs w:val="26"/>
          <w:rtl/>
        </w:rPr>
        <w:t>.</w:t>
      </w:r>
    </w:p>
    <w:p w:rsidR="007C3EF1" w:rsidRPr="001D04FE" w:rsidRDefault="007C3EF1" w:rsidP="007C3EF1">
      <w:pPr>
        <w:pStyle w:val="Retraitcorpsdetexte"/>
        <w:spacing w:before="120" w:after="120" w:afterAutospacing="0" w:line="240" w:lineRule="auto"/>
        <w:jc w:val="thaiDistribute"/>
        <w:rPr>
          <w:b/>
          <w:bCs/>
          <w:i/>
          <w:iCs/>
          <w:color w:val="000000"/>
          <w:sz w:val="26"/>
          <w:szCs w:val="26"/>
          <w:u w:val="single"/>
          <w:rtl/>
        </w:rPr>
      </w:pPr>
      <w:r w:rsidRPr="001D04FE">
        <w:rPr>
          <w:rFonts w:hint="cs"/>
          <w:b/>
          <w:bCs/>
          <w:i/>
          <w:iCs/>
          <w:color w:val="000000"/>
          <w:sz w:val="26"/>
          <w:szCs w:val="26"/>
          <w:u w:val="single"/>
          <w:rtl/>
        </w:rPr>
        <w:t xml:space="preserve">الفرع الثاني </w:t>
      </w:r>
      <w:r w:rsidRPr="001D04FE">
        <w:rPr>
          <w:rFonts w:hint="cs"/>
          <w:b/>
          <w:bCs/>
          <w:i/>
          <w:iCs/>
          <w:color w:val="000000"/>
          <w:sz w:val="26"/>
          <w:szCs w:val="26"/>
          <w:rtl/>
        </w:rPr>
        <w:t xml:space="preserve">: أجهزة الحماية في الاتفاقية الأمريكية لحقوق الإنسان </w:t>
      </w:r>
    </w:p>
    <w:p w:rsidR="007C3EF1" w:rsidRPr="001D04FE" w:rsidRDefault="007C3EF1" w:rsidP="007C3EF1">
      <w:pPr>
        <w:pStyle w:val="Retraitcorpsdetexte"/>
        <w:spacing w:before="120" w:after="120" w:afterAutospacing="0" w:line="240" w:lineRule="auto"/>
        <w:jc w:val="thaiDistribute"/>
        <w:rPr>
          <w:color w:val="000000"/>
          <w:sz w:val="26"/>
          <w:szCs w:val="26"/>
        </w:rPr>
      </w:pPr>
      <w:r w:rsidRPr="001D04FE">
        <w:rPr>
          <w:rFonts w:hint="cs"/>
          <w:color w:val="000000"/>
          <w:sz w:val="26"/>
          <w:szCs w:val="26"/>
          <w:rtl/>
        </w:rPr>
        <w:t>لقد أسندت الاتفاقية الأمريكية لحقوق الإنسان مهمة حماية حقوق الإنسان إلى هيئتين وهي: اللجنة الأمريكية والمحكمة الأمريكية لحقوق الإنسان .</w:t>
      </w:r>
    </w:p>
    <w:p w:rsidR="007C3EF1" w:rsidRPr="001D04FE" w:rsidRDefault="007C3EF1" w:rsidP="007C3EF1">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الأولى </w:t>
      </w:r>
      <w:r w:rsidRPr="001D04FE">
        <w:rPr>
          <w:rFonts w:hint="cs"/>
          <w:b/>
          <w:bCs/>
          <w:color w:val="000000"/>
          <w:sz w:val="26"/>
          <w:szCs w:val="26"/>
          <w:rtl/>
        </w:rPr>
        <w:t xml:space="preserve">:  اللجنة الأمريكية لحقوق الإنسان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أنشئت في عام 1959، ويقع مقرها في الأمانة العامة لمنظمة الدول الأمريكية في واشنطن وأصبحت منذ عام 1960 تعمل على حماية حقوق الإنسان المعلن عنها في الإعلان الأمريكي لحقوق الإنسان ، غير أن الاتفاقية الأمريكية لحقوق الإنسان عدلت اسم اللجنة التي أصبح يطلق عليها " اللجنــــة الأمريكية لحقوق الإنسان"</w:t>
      </w:r>
      <w:r w:rsidRPr="001D04FE">
        <w:rPr>
          <w:rStyle w:val="Appelnotedebasdep"/>
          <w:color w:val="000000"/>
          <w:sz w:val="26"/>
          <w:szCs w:val="26"/>
          <w:rtl/>
        </w:rPr>
        <w:footnoteReference w:id="24"/>
      </w:r>
      <w:r w:rsidRPr="001D04FE">
        <w:rPr>
          <w:rFonts w:hint="cs"/>
          <w:color w:val="000000"/>
          <w:sz w:val="26"/>
          <w:szCs w:val="26"/>
          <w:rtl/>
        </w:rPr>
        <w:t>، وتتألف هذه اللجنة من سبعة أعضاء يتمتعون بصفات خلقية عالية ومشهود لهم بالكفاءة والخبرة في مجال حقوق الإنسان</w:t>
      </w:r>
      <w:r w:rsidRPr="001D04FE">
        <w:rPr>
          <w:rStyle w:val="Appelnotedebasdep"/>
          <w:color w:val="000000"/>
          <w:sz w:val="26"/>
          <w:szCs w:val="26"/>
          <w:rtl/>
        </w:rPr>
        <w:footnoteReference w:id="25"/>
      </w:r>
      <w:r w:rsidRPr="001D04FE">
        <w:rPr>
          <w:rFonts w:hint="cs"/>
          <w:color w:val="000000"/>
          <w:sz w:val="26"/>
          <w:szCs w:val="26"/>
          <w:rtl/>
        </w:rPr>
        <w:t>، ويتم انتخابهم من طرف الجمعية العامة لمنظمة الدول الأمريكية بصفاتهم الشخصية وليس باعتبارهم ممثلين لحكوماتهم ، ولكن ممثلين عن سائر الدول الأعضاء في المنظمة ، وينتخب أعضاء اللجنة لمدة أربعة سنوات ، قابلة للتجديد مرة واحدة فقط</w:t>
      </w:r>
      <w:r w:rsidRPr="001D04FE">
        <w:rPr>
          <w:rStyle w:val="Appelnotedebasdep"/>
          <w:color w:val="000000"/>
          <w:sz w:val="26"/>
          <w:szCs w:val="26"/>
          <w:rtl/>
        </w:rPr>
        <w:footnoteReference w:id="26"/>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ويرشح الأعضاء من قبل الدول في المنظمة ويحق لكل دولة اقتراح ثلاثة من أعضائها من ضمنهم على الأقل عضو واحد لا ينتمي إلى هذه الدولة ، لا يجوز أن يكون مواطنان من الدولة نفسها عضوين في اللجنة </w:t>
      </w:r>
      <w:r w:rsidRPr="001D04FE">
        <w:rPr>
          <w:rStyle w:val="Appelnotedebasdep"/>
          <w:color w:val="000000"/>
          <w:sz w:val="26"/>
          <w:szCs w:val="26"/>
          <w:rtl/>
        </w:rPr>
        <w:footnoteReference w:id="27"/>
      </w:r>
      <w:r w:rsidRPr="001D04FE">
        <w:rPr>
          <w:rFonts w:hint="cs"/>
          <w:color w:val="000000"/>
          <w:sz w:val="26"/>
          <w:szCs w:val="26"/>
          <w:rtl/>
        </w:rPr>
        <w:t xml:space="preserve"> .</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لقد سعى واضعو الاتفاقية الأمريكية لحقوق الإنسان من وراء إنشاء اللجنة إلى خلق هيئة هدفها تشجيع حقوق الإنسان وتنمية الوعي بها بين شعوب القارة الأمريكية</w:t>
      </w:r>
      <w:r w:rsidRPr="001D04FE">
        <w:rPr>
          <w:rStyle w:val="Appelnotedebasdep"/>
          <w:color w:val="000000"/>
          <w:sz w:val="26"/>
          <w:szCs w:val="26"/>
          <w:rtl/>
        </w:rPr>
        <w:footnoteReference w:id="28"/>
      </w:r>
      <w:r w:rsidRPr="001D04FE">
        <w:rPr>
          <w:rFonts w:hint="cs"/>
          <w:color w:val="000000"/>
          <w:sz w:val="26"/>
          <w:szCs w:val="26"/>
          <w:rtl/>
        </w:rPr>
        <w:t xml:space="preserve"> ،  ويشمل تشجيع حقوق الإنسان خلق مناخ مناسب لها ، مثلا من خلال: </w:t>
      </w:r>
    </w:p>
    <w:p w:rsidR="007C3EF1" w:rsidRPr="001D04FE" w:rsidRDefault="007C3EF1" w:rsidP="007C3EF1">
      <w:pPr>
        <w:pStyle w:val="Retraitcorpsdetexte"/>
        <w:numPr>
          <w:ilvl w:val="0"/>
          <w:numId w:val="2"/>
        </w:numPr>
        <w:spacing w:before="120" w:after="120" w:afterAutospacing="0" w:line="240" w:lineRule="auto"/>
        <w:jc w:val="thaiDistribute"/>
        <w:rPr>
          <w:color w:val="000000"/>
          <w:sz w:val="26"/>
          <w:szCs w:val="26"/>
          <w:rtl/>
        </w:rPr>
      </w:pPr>
      <w:r w:rsidRPr="001D04FE">
        <w:rPr>
          <w:rFonts w:hint="cs"/>
          <w:color w:val="000000"/>
          <w:sz w:val="26"/>
          <w:szCs w:val="26"/>
          <w:rtl/>
        </w:rPr>
        <w:t>تنمية الوعي بحقوق الإنسان لدى شعوب أمريكا ، وذلك عبر برامج التربية والبحث في ميدان حقوق الإنسان .</w:t>
      </w:r>
    </w:p>
    <w:p w:rsidR="007C3EF1" w:rsidRPr="001D04FE" w:rsidRDefault="007C3EF1" w:rsidP="007C3EF1">
      <w:pPr>
        <w:pStyle w:val="Retraitcorpsdetexte"/>
        <w:numPr>
          <w:ilvl w:val="0"/>
          <w:numId w:val="2"/>
        </w:numPr>
        <w:spacing w:before="120" w:after="120" w:afterAutospacing="0" w:line="240" w:lineRule="auto"/>
        <w:jc w:val="thaiDistribute"/>
        <w:rPr>
          <w:color w:val="000000"/>
          <w:sz w:val="26"/>
          <w:szCs w:val="26"/>
        </w:rPr>
      </w:pPr>
      <w:r w:rsidRPr="001D04FE">
        <w:rPr>
          <w:rFonts w:hint="cs"/>
          <w:color w:val="000000"/>
          <w:sz w:val="26"/>
          <w:szCs w:val="26"/>
          <w:rtl/>
        </w:rPr>
        <w:t>إصدار التوصيات للحكومات الأعضاء في شأن الإجراءات الواجب اتخاذها للمزيد من المراعاة لهذه الحقوق .</w:t>
      </w:r>
    </w:p>
    <w:p w:rsidR="007C3EF1" w:rsidRPr="001D04FE" w:rsidRDefault="007C3EF1" w:rsidP="007C3EF1">
      <w:pPr>
        <w:pStyle w:val="Retraitcorpsdetexte"/>
        <w:numPr>
          <w:ilvl w:val="0"/>
          <w:numId w:val="2"/>
        </w:numPr>
        <w:spacing w:before="120" w:after="120" w:afterAutospacing="0" w:line="240" w:lineRule="auto"/>
        <w:jc w:val="thaiDistribute"/>
        <w:rPr>
          <w:color w:val="000000"/>
          <w:sz w:val="26"/>
          <w:szCs w:val="26"/>
        </w:rPr>
      </w:pPr>
      <w:r w:rsidRPr="001D04FE">
        <w:rPr>
          <w:rFonts w:hint="cs"/>
          <w:color w:val="000000"/>
          <w:sz w:val="26"/>
          <w:szCs w:val="26"/>
          <w:rtl/>
        </w:rPr>
        <w:t>إعداد الدراسات والتقارير التي تراها مفيدة لمباشرة وظائفها ،</w:t>
      </w:r>
    </w:p>
    <w:p w:rsidR="007C3EF1" w:rsidRPr="001D04FE" w:rsidRDefault="007C3EF1" w:rsidP="007C3EF1">
      <w:pPr>
        <w:pStyle w:val="Retraitcorpsdetexte"/>
        <w:numPr>
          <w:ilvl w:val="0"/>
          <w:numId w:val="2"/>
        </w:numPr>
        <w:spacing w:before="120" w:after="120" w:afterAutospacing="0" w:line="240" w:lineRule="auto"/>
        <w:jc w:val="thaiDistribute"/>
        <w:rPr>
          <w:color w:val="000000"/>
          <w:sz w:val="26"/>
          <w:szCs w:val="26"/>
        </w:rPr>
      </w:pPr>
      <w:r w:rsidRPr="001D04FE">
        <w:rPr>
          <w:rFonts w:hint="cs"/>
          <w:color w:val="000000"/>
          <w:sz w:val="26"/>
          <w:szCs w:val="26"/>
          <w:rtl/>
        </w:rPr>
        <w:t>مطالبة حكومات الدول الأعضاء في المنظمة الأمريكية لتزويدها بمعلومات حول الإجراءات التي اتخذتها هذه الحكومات حول مسائل حقوق الإنسان  .</w:t>
      </w:r>
    </w:p>
    <w:p w:rsidR="007C3EF1" w:rsidRPr="001D04FE" w:rsidRDefault="007C3EF1" w:rsidP="007C3EF1">
      <w:pPr>
        <w:pStyle w:val="Retraitcorpsdetexte"/>
        <w:numPr>
          <w:ilvl w:val="0"/>
          <w:numId w:val="2"/>
        </w:numPr>
        <w:spacing w:before="120" w:after="120" w:afterAutospacing="0" w:line="240" w:lineRule="auto"/>
        <w:jc w:val="thaiDistribute"/>
        <w:rPr>
          <w:color w:val="000000"/>
          <w:sz w:val="26"/>
          <w:szCs w:val="26"/>
        </w:rPr>
      </w:pPr>
      <w:r w:rsidRPr="001D04FE">
        <w:rPr>
          <w:rFonts w:hint="cs"/>
          <w:color w:val="000000"/>
          <w:sz w:val="26"/>
          <w:szCs w:val="26"/>
          <w:rtl/>
        </w:rPr>
        <w:t>الرد، عن طريق الأمانة العامـــــة لمنظمة الدول الأمريكية، على استفسارات الدول الأعضاء حول المسائل المتعلقة بحقوق الإنسان وموافاة هذه الدول ـ في حدود إمكانياتهاـ بالخدمات الاستشارية لدى الطلب  .</w:t>
      </w:r>
    </w:p>
    <w:p w:rsidR="007C3EF1" w:rsidRPr="001D04FE" w:rsidRDefault="007C3EF1" w:rsidP="007C3EF1">
      <w:pPr>
        <w:pStyle w:val="Retraitcorpsdetexte"/>
        <w:numPr>
          <w:ilvl w:val="0"/>
          <w:numId w:val="2"/>
        </w:numPr>
        <w:spacing w:before="120" w:after="120" w:afterAutospacing="0" w:line="240" w:lineRule="auto"/>
        <w:jc w:val="thaiDistribute"/>
        <w:rPr>
          <w:color w:val="000000"/>
          <w:sz w:val="26"/>
          <w:szCs w:val="26"/>
        </w:rPr>
      </w:pPr>
      <w:r w:rsidRPr="001D04FE">
        <w:rPr>
          <w:rFonts w:hint="cs"/>
          <w:color w:val="000000"/>
          <w:sz w:val="26"/>
          <w:szCs w:val="26"/>
          <w:rtl/>
        </w:rPr>
        <w:t xml:space="preserve">اتخاذ الإجراءات بشأن الطعون والتظلمات المقدمة في ظل سلطاتها المنصوص عليها في المواد من (44 إلى 51) من الاتفاقية .  </w:t>
      </w:r>
    </w:p>
    <w:p w:rsidR="007C3EF1" w:rsidRPr="001D04FE" w:rsidRDefault="007C3EF1" w:rsidP="007C3EF1">
      <w:pPr>
        <w:pStyle w:val="Retraitcorpsdetexte"/>
        <w:numPr>
          <w:ilvl w:val="0"/>
          <w:numId w:val="2"/>
        </w:numPr>
        <w:spacing w:before="120" w:after="120" w:afterAutospacing="0" w:line="240" w:lineRule="auto"/>
        <w:jc w:val="thaiDistribute"/>
        <w:rPr>
          <w:color w:val="000000"/>
          <w:sz w:val="26"/>
          <w:szCs w:val="26"/>
        </w:rPr>
      </w:pPr>
      <w:r w:rsidRPr="001D04FE">
        <w:rPr>
          <w:rFonts w:hint="cs"/>
          <w:color w:val="000000"/>
          <w:sz w:val="26"/>
          <w:szCs w:val="26"/>
          <w:rtl/>
        </w:rPr>
        <w:t>تقديم تقرير سنوي للجمعية العامة لمنظمة الدول الأمريكية.</w:t>
      </w:r>
    </w:p>
    <w:p w:rsidR="007C3EF1" w:rsidRPr="001D04FE" w:rsidRDefault="007C3EF1" w:rsidP="007C3EF1">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  هذا بالإضافة إلى اختصاص اللجنة الأمريكية لحقوق الإنسان بنظر طعون الأفراد وتبليغات الدول في خصوص انتهاك حقوق الإنسان . </w:t>
      </w:r>
    </w:p>
    <w:p w:rsidR="007C3EF1" w:rsidRPr="001D04FE" w:rsidRDefault="007C3EF1" w:rsidP="007C3EF1">
      <w:pPr>
        <w:pStyle w:val="Retraitcorpsdetexte"/>
        <w:spacing w:before="120" w:after="120" w:afterAutospacing="0" w:line="240" w:lineRule="auto"/>
        <w:rPr>
          <w:b/>
          <w:bCs/>
          <w:color w:val="000000"/>
          <w:sz w:val="26"/>
          <w:szCs w:val="26"/>
          <w:u w:val="single"/>
          <w:rtl/>
        </w:rPr>
      </w:pPr>
      <w:r w:rsidRPr="001D04FE">
        <w:rPr>
          <w:rFonts w:hint="cs"/>
          <w:b/>
          <w:bCs/>
          <w:color w:val="000000"/>
          <w:sz w:val="26"/>
          <w:szCs w:val="26"/>
          <w:u w:val="single"/>
          <w:rtl/>
        </w:rPr>
        <w:t xml:space="preserve">الفقرة الثانية </w:t>
      </w:r>
      <w:r w:rsidRPr="001D04FE">
        <w:rPr>
          <w:rFonts w:hint="cs"/>
          <w:b/>
          <w:bCs/>
          <w:color w:val="000000"/>
          <w:sz w:val="26"/>
          <w:szCs w:val="26"/>
          <w:rtl/>
        </w:rPr>
        <w:t xml:space="preserve">: المحكمة الأمريكية لحقوق الإنسان </w:t>
      </w:r>
    </w:p>
    <w:p w:rsidR="007C3EF1" w:rsidRPr="001D04FE" w:rsidRDefault="007C3EF1" w:rsidP="007C3EF1">
      <w:pPr>
        <w:pStyle w:val="Retraitcorpsdetexte"/>
        <w:spacing w:before="120" w:after="120" w:afterAutospacing="0" w:line="240" w:lineRule="auto"/>
        <w:rPr>
          <w:color w:val="000000"/>
          <w:sz w:val="26"/>
          <w:szCs w:val="26"/>
          <w:rtl/>
        </w:rPr>
      </w:pPr>
      <w:r w:rsidRPr="001D04FE">
        <w:rPr>
          <w:rFonts w:hint="cs"/>
          <w:color w:val="000000"/>
          <w:sz w:val="26"/>
          <w:szCs w:val="26"/>
          <w:rtl/>
        </w:rPr>
        <w:t>تتألف المحكمة من سبعة قضاة ، يتم ترشيحهم وانتخابهم من الدول التي انضمت إلى الاتفاقية ، ينتخبون بصفتهم الفردية من بين فقهاء يتمتعون بأعلى الصفات الخلقية ومشهود لهم بالكفاءة في ميدان حقوق الإنسان ، ويمتلكون المواصفات اللازمة لممارسة أعلى الوظائف القضائية بحسب قانون دولة جنسيتهم التي ترشحهم مع عدم جواز قاضيين من نفس الدولة (المادة 52 من الاتفاقية)  ،  يتم انتخاب قضاة المحكمة بالاقتراع السري بالأغلبية المطلقة لأصوات الدول الأطراف في هذه الاتفاقية ، ويحق لكل طرف في الاتفاقية اقتراح ثلاثة مرشحين كحد أقصى ، سواء كانوا من الدولة المقترحة أو أية دولة عضو في منظمة الدول الأمريكية ، وعند الاقتراح لثلاثة مرشحين فإنه يجب أن يكون على الأقل أحد هؤلاء القضاة مواطنا من دولة غير الدولة التي اقترحت اللائحة .</w:t>
      </w:r>
    </w:p>
    <w:p w:rsidR="007C3EF1" w:rsidRDefault="007C3EF1" w:rsidP="007C3EF1">
      <w:pPr>
        <w:pStyle w:val="Retraitcorpsdetexte"/>
        <w:spacing w:before="120" w:after="120" w:afterAutospacing="0" w:line="240" w:lineRule="auto"/>
        <w:rPr>
          <w:color w:val="000000"/>
          <w:sz w:val="26"/>
          <w:szCs w:val="26"/>
          <w:rtl/>
        </w:rPr>
      </w:pPr>
      <w:r w:rsidRPr="001D04FE">
        <w:rPr>
          <w:rFonts w:hint="cs"/>
          <w:color w:val="000000"/>
          <w:sz w:val="26"/>
          <w:szCs w:val="26"/>
          <w:rtl/>
        </w:rPr>
        <w:lastRenderedPageBreak/>
        <w:t>وينتخب قضاة المحكمة لمدة سنوات ، و يمكن إعادة انتخابهم مرة واحدة فقط ، غير أن ولاية ثلاثة قضاة المختارين في الانتخاب الأول تنتهي بإنقضاء ثلاثة سنوات ، وتحدد أسماء هؤلاء الثلاثة بالقرعة في الجمعية العامة فور الانتهاء من ذلك الانتخاب ، ويتم النصاب من أجل قيام أعمال المحكمة في خمسة قضاة ، ويوجد مقر المحكمة في سان خوسي بكوستاريكا ، تأسست سنة 1979 عند دخول الاتفاقية حيز التنفيذ وللمحكمة نوعان من الاختصاص : اختصاص قضائي وآخر استشاري.</w:t>
      </w:r>
    </w:p>
    <w:p w:rsidR="007C3EF1" w:rsidRPr="001D04FE" w:rsidRDefault="007C3EF1" w:rsidP="007C3EF1">
      <w:pPr>
        <w:pStyle w:val="Retraitcorpsdetexte"/>
        <w:spacing w:before="120" w:after="120" w:afterAutospacing="0" w:line="240" w:lineRule="auto"/>
        <w:rPr>
          <w:color w:val="000000"/>
          <w:sz w:val="26"/>
          <w:szCs w:val="26"/>
        </w:rPr>
      </w:pPr>
    </w:p>
    <w:p w:rsidR="00EA5D8E" w:rsidRDefault="002932E1"/>
    <w:sectPr w:rsidR="00EA5D8E" w:rsidSect="00F16F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2E1" w:rsidRDefault="002932E1" w:rsidP="007C3EF1">
      <w:pPr>
        <w:spacing w:after="0" w:line="240" w:lineRule="auto"/>
      </w:pPr>
      <w:r>
        <w:separator/>
      </w:r>
    </w:p>
  </w:endnote>
  <w:endnote w:type="continuationSeparator" w:id="1">
    <w:p w:rsidR="002932E1" w:rsidRDefault="002932E1" w:rsidP="007C3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خط مسعد المغربي">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2E1" w:rsidRDefault="002932E1" w:rsidP="007C3EF1">
      <w:pPr>
        <w:spacing w:after="0" w:line="240" w:lineRule="auto"/>
      </w:pPr>
      <w:r>
        <w:separator/>
      </w:r>
    </w:p>
  </w:footnote>
  <w:footnote w:type="continuationSeparator" w:id="1">
    <w:p w:rsidR="002932E1" w:rsidRDefault="002932E1" w:rsidP="007C3EF1">
      <w:pPr>
        <w:spacing w:after="0" w:line="240" w:lineRule="auto"/>
      </w:pPr>
      <w:r>
        <w:continuationSeparator/>
      </w:r>
    </w:p>
  </w:footnote>
  <w:footnote w:id="2">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A51E9A">
        <w:rPr>
          <w:rFonts w:hint="cs"/>
          <w:b/>
          <w:bCs/>
          <w:color w:val="000000"/>
          <w:rtl/>
          <w:lang w:bidi="ar-MA"/>
        </w:rPr>
        <w:t>محمد أمين الميداني</w:t>
      </w:r>
      <w:r>
        <w:rPr>
          <w:rFonts w:hint="cs"/>
          <w:color w:val="000000"/>
          <w:rtl/>
          <w:lang w:bidi="ar-MA"/>
        </w:rPr>
        <w:t xml:space="preserve"> : النظام الأوربي لحماية حقوق الإنسان، مرجع </w:t>
      </w:r>
      <w:r w:rsidRPr="002C465A">
        <w:rPr>
          <w:rFonts w:hint="cs"/>
          <w:color w:val="000000"/>
          <w:rtl/>
          <w:lang w:bidi="ar-MA"/>
        </w:rPr>
        <w:t xml:space="preserve">سابق </w:t>
      </w:r>
      <w:r>
        <w:rPr>
          <w:rFonts w:hint="cs"/>
          <w:color w:val="000000"/>
          <w:rtl/>
          <w:lang w:bidi="ar-MA"/>
        </w:rPr>
        <w:t>، ص : 77 .</w:t>
      </w:r>
    </w:p>
  </w:footnote>
  <w:footnote w:id="3">
    <w:p w:rsidR="007C3EF1" w:rsidRPr="002C465A" w:rsidRDefault="007C3EF1" w:rsidP="007C3EF1">
      <w:pPr>
        <w:pStyle w:val="Notedebasdepage"/>
        <w:bidi/>
        <w:rPr>
          <w:color w:val="000000"/>
          <w:lang w:bidi="ar-MA"/>
        </w:rPr>
      </w:pPr>
      <w:r w:rsidRPr="002C465A">
        <w:rPr>
          <w:rStyle w:val="Appelnotedebasdep"/>
          <w:color w:val="000000"/>
        </w:rPr>
        <w:footnoteRef/>
      </w:r>
      <w:r w:rsidRPr="002C465A">
        <w:rPr>
          <w:rFonts w:hint="cs"/>
          <w:color w:val="000000"/>
          <w:rtl/>
          <w:lang w:bidi="ar-MA"/>
        </w:rPr>
        <w:t xml:space="preserve">  فإذا انضمت دول أخرى إلى المجل</w:t>
      </w:r>
      <w:r>
        <w:rPr>
          <w:rFonts w:hint="cs"/>
          <w:color w:val="000000"/>
          <w:rtl/>
          <w:lang w:bidi="ar-MA"/>
        </w:rPr>
        <w:t>س</w:t>
      </w:r>
      <w:r w:rsidRPr="002C465A">
        <w:rPr>
          <w:rFonts w:hint="cs"/>
          <w:color w:val="000000"/>
          <w:rtl/>
          <w:lang w:bidi="ar-MA"/>
        </w:rPr>
        <w:t xml:space="preserve"> تعاد إجراءات الانتخاب لتكملة عدد القضاة بحيث يساوي عدد الأعضاء الفعليين في المجلس (المادة 39- فقرة 2 من الاتفا</w:t>
      </w:r>
      <w:r>
        <w:rPr>
          <w:rFonts w:hint="cs"/>
          <w:color w:val="000000"/>
          <w:rtl/>
          <w:lang w:bidi="ar-MA"/>
        </w:rPr>
        <w:t>قية الأوربية لحقوق الإنسان) .</w:t>
      </w:r>
    </w:p>
  </w:footnote>
  <w:footnote w:id="4">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انظر : </w:t>
      </w:r>
    </w:p>
    <w:p w:rsidR="007C3EF1" w:rsidRPr="002C465A" w:rsidRDefault="007C3EF1" w:rsidP="007C3EF1">
      <w:pPr>
        <w:pStyle w:val="Notedebasdepage"/>
        <w:rPr>
          <w:color w:val="000000"/>
          <w:rtl/>
          <w:lang w:bidi="ar-MA"/>
        </w:rPr>
      </w:pPr>
      <w:r w:rsidRPr="004E0646">
        <w:rPr>
          <w:b/>
          <w:bCs/>
          <w:color w:val="000000"/>
          <w:lang w:bidi="ar-MA"/>
        </w:rPr>
        <w:t>Arleteheymann DOAT</w:t>
      </w:r>
      <w:r w:rsidRPr="002C465A">
        <w:rPr>
          <w:color w:val="000000"/>
          <w:lang w:bidi="ar-MA"/>
        </w:rPr>
        <w:t xml:space="preserve"> : «  libertés publiques et droit de l’homme «  (LGDJ) paris </w:t>
      </w:r>
      <w:r>
        <w:rPr>
          <w:color w:val="000000"/>
          <w:rtl/>
          <w:lang w:bidi="ar-MA"/>
        </w:rPr>
        <w:t>،</w:t>
      </w:r>
      <w:r w:rsidRPr="002C465A">
        <w:rPr>
          <w:color w:val="000000"/>
          <w:lang w:bidi="ar-MA"/>
        </w:rPr>
        <w:t xml:space="preserve"> 1990 </w:t>
      </w:r>
      <w:r>
        <w:rPr>
          <w:color w:val="000000"/>
          <w:rtl/>
          <w:lang w:bidi="ar-MA"/>
        </w:rPr>
        <w:t>،</w:t>
      </w:r>
      <w:r w:rsidRPr="002C465A">
        <w:rPr>
          <w:color w:val="000000"/>
          <w:lang w:bidi="ar-MA"/>
        </w:rPr>
        <w:t xml:space="preserve"> p : 208 et suiv</w:t>
      </w:r>
      <w:r>
        <w:rPr>
          <w:rFonts w:hint="cs"/>
          <w:color w:val="000000"/>
          <w:rtl/>
          <w:lang w:bidi="ar-MA"/>
        </w:rPr>
        <w:t>.</w:t>
      </w:r>
    </w:p>
  </w:footnote>
  <w:footnote w:id="5">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A51E9A">
        <w:rPr>
          <w:rFonts w:hint="cs"/>
          <w:b/>
          <w:bCs/>
          <w:color w:val="000000"/>
          <w:rtl/>
          <w:lang w:bidi="ar-MA"/>
        </w:rPr>
        <w:t>عمر بندورو</w:t>
      </w:r>
      <w:r>
        <w:rPr>
          <w:rFonts w:hint="cs"/>
          <w:color w:val="000000"/>
          <w:rtl/>
          <w:lang w:bidi="ar-MA"/>
        </w:rPr>
        <w:t xml:space="preserve">، مرجع </w:t>
      </w:r>
      <w:r w:rsidRPr="002C465A">
        <w:rPr>
          <w:rFonts w:hint="cs"/>
          <w:color w:val="000000"/>
          <w:rtl/>
          <w:lang w:bidi="ar-MA"/>
        </w:rPr>
        <w:t xml:space="preserve">سابق </w:t>
      </w:r>
      <w:r>
        <w:rPr>
          <w:rFonts w:hint="cs"/>
          <w:color w:val="000000"/>
          <w:rtl/>
          <w:lang w:bidi="ar-MA"/>
        </w:rPr>
        <w:t>، ص : 61 .</w:t>
      </w:r>
    </w:p>
  </w:footnote>
  <w:footnote w:id="6">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عند انتخاب الأعضاء الأوليين من المحكمة تم عرض اقتراحين : الأول يقضي بتعيين القضاة بالأغلبية المطلقة في دورة الانتخاب الأولى وبالأغلبية العاد</w:t>
      </w:r>
      <w:r>
        <w:rPr>
          <w:rFonts w:hint="cs"/>
          <w:color w:val="000000"/>
          <w:rtl/>
          <w:lang w:bidi="ar-MA"/>
        </w:rPr>
        <w:t>ية في دورة الانتخاب الثانية  .</w:t>
      </w:r>
    </w:p>
    <w:p w:rsidR="007C3EF1" w:rsidRPr="002C465A" w:rsidRDefault="007C3EF1" w:rsidP="007C3EF1">
      <w:pPr>
        <w:pStyle w:val="Notedebasdepage"/>
        <w:bidi/>
        <w:rPr>
          <w:color w:val="000000"/>
          <w:rtl/>
          <w:lang w:bidi="ar-MA"/>
        </w:rPr>
      </w:pPr>
      <w:r w:rsidRPr="002C465A">
        <w:rPr>
          <w:rFonts w:hint="cs"/>
          <w:color w:val="000000"/>
          <w:rtl/>
          <w:lang w:bidi="ar-MA"/>
        </w:rPr>
        <w:t xml:space="preserve">أما الاقتراح الثاني فقد كان يقضي بانتخاب القضاة في دور واحد وعلى أساس الأغلبية النسبية </w:t>
      </w:r>
      <w:r>
        <w:rPr>
          <w:rFonts w:hint="cs"/>
          <w:color w:val="000000"/>
          <w:rtl/>
          <w:lang w:bidi="ar-MA"/>
        </w:rPr>
        <w:t>،</w:t>
      </w:r>
      <w:r w:rsidRPr="002C465A">
        <w:rPr>
          <w:rFonts w:hint="cs"/>
          <w:color w:val="000000"/>
          <w:rtl/>
          <w:lang w:bidi="ar-MA"/>
        </w:rPr>
        <w:t xml:space="preserve"> تم الأخذ بالاقتراح الأول</w:t>
      </w:r>
      <w:r>
        <w:rPr>
          <w:rFonts w:hint="cs"/>
          <w:color w:val="000000"/>
          <w:rtl/>
          <w:lang w:bidi="ar-MA"/>
        </w:rPr>
        <w:t xml:space="preserve"> الذي اتبع في انتخاب القضاة.</w:t>
      </w:r>
    </w:p>
    <w:p w:rsidR="007C3EF1" w:rsidRPr="002C465A" w:rsidRDefault="007C3EF1" w:rsidP="007C3EF1">
      <w:pPr>
        <w:pStyle w:val="Notedebasdepage"/>
        <w:bidi/>
        <w:rPr>
          <w:color w:val="000000"/>
          <w:lang w:bidi="ar-MA"/>
        </w:rPr>
      </w:pPr>
      <w:r w:rsidRPr="002C465A">
        <w:rPr>
          <w:rFonts w:hint="cs"/>
          <w:color w:val="000000"/>
          <w:rtl/>
          <w:lang w:bidi="ar-MA"/>
        </w:rPr>
        <w:t xml:space="preserve">انظر : </w:t>
      </w:r>
    </w:p>
    <w:p w:rsidR="007C3EF1" w:rsidRPr="002C465A" w:rsidRDefault="007C3EF1" w:rsidP="007C3EF1">
      <w:pPr>
        <w:pStyle w:val="Notedebasdepage"/>
        <w:bidi/>
        <w:rPr>
          <w:color w:val="000000"/>
          <w:lang w:bidi="ar-MA"/>
        </w:rPr>
      </w:pPr>
    </w:p>
    <w:p w:rsidR="007C3EF1" w:rsidRPr="002C465A" w:rsidRDefault="007C3EF1" w:rsidP="007C3EF1">
      <w:pPr>
        <w:pStyle w:val="Notedebasdepage"/>
        <w:bidi/>
        <w:jc w:val="right"/>
        <w:rPr>
          <w:color w:val="000000"/>
          <w:rtl/>
          <w:lang w:bidi="ar-MA"/>
        </w:rPr>
      </w:pPr>
      <w:r w:rsidRPr="002C465A">
        <w:rPr>
          <w:color w:val="000000"/>
          <w:lang w:bidi="ar-MA"/>
        </w:rPr>
        <w:t>K</w:t>
      </w:r>
      <w:r w:rsidRPr="002C465A">
        <w:rPr>
          <w:color w:val="000000"/>
          <w:rtl/>
          <w:lang w:bidi="ar-MA"/>
        </w:rPr>
        <w:t xml:space="preserve"> ، </w:t>
      </w:r>
      <w:r w:rsidRPr="00A15E30">
        <w:rPr>
          <w:b/>
          <w:bCs/>
          <w:color w:val="000000"/>
          <w:lang w:bidi="ar-MA"/>
        </w:rPr>
        <w:t xml:space="preserve">Vasak : </w:t>
      </w:r>
      <w:r w:rsidRPr="002C465A">
        <w:rPr>
          <w:color w:val="000000"/>
          <w:lang w:bidi="ar-MA"/>
        </w:rPr>
        <w:t>«  institutions régionales de protection et de pronotion des droits de l’homme » in les dimensions intenationales des droits de l’homme » unisco</w:t>
      </w:r>
      <w:r>
        <w:rPr>
          <w:color w:val="000000"/>
          <w:lang w:bidi="ar-MA"/>
        </w:rPr>
        <w:t>.1978.</w:t>
      </w:r>
      <w:r>
        <w:rPr>
          <w:color w:val="000000"/>
          <w:rtl/>
          <w:lang w:bidi="ar-MA"/>
        </w:rPr>
        <w:t>،</w:t>
      </w:r>
      <w:r w:rsidRPr="002C465A">
        <w:rPr>
          <w:color w:val="000000"/>
          <w:lang w:bidi="ar-MA"/>
        </w:rPr>
        <w:t xml:space="preserve"> 1978 </w:t>
      </w:r>
      <w:r>
        <w:rPr>
          <w:color w:val="000000"/>
          <w:rtl/>
          <w:lang w:bidi="ar-MA"/>
        </w:rPr>
        <w:t>،</w:t>
      </w:r>
      <w:r w:rsidRPr="002C465A">
        <w:rPr>
          <w:color w:val="000000"/>
          <w:lang w:bidi="ar-MA"/>
        </w:rPr>
        <w:t xml:space="preserve"> p  </w:t>
      </w:r>
    </w:p>
    <w:p w:rsidR="007C3EF1" w:rsidRPr="002C465A" w:rsidRDefault="007C3EF1" w:rsidP="007C3EF1">
      <w:pPr>
        <w:pStyle w:val="Notedebasdepage"/>
        <w:bidi/>
        <w:rPr>
          <w:color w:val="000000"/>
          <w:rtl/>
          <w:lang w:bidi="ar-MA"/>
        </w:rPr>
      </w:pPr>
    </w:p>
  </w:footnote>
  <w:footnote w:id="7">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A15E30">
        <w:rPr>
          <w:rFonts w:hint="cs"/>
          <w:b/>
          <w:bCs/>
          <w:color w:val="000000"/>
          <w:rtl/>
          <w:lang w:bidi="ar-MA"/>
        </w:rPr>
        <w:t>عمر بندورو</w:t>
      </w:r>
      <w:r>
        <w:rPr>
          <w:rFonts w:hint="cs"/>
          <w:color w:val="000000"/>
          <w:rtl/>
          <w:lang w:bidi="ar-MA"/>
        </w:rPr>
        <w:t xml:space="preserve">، مرجع </w:t>
      </w:r>
      <w:r w:rsidRPr="002C465A">
        <w:rPr>
          <w:rFonts w:hint="cs"/>
          <w:color w:val="000000"/>
          <w:rtl/>
          <w:lang w:bidi="ar-MA"/>
        </w:rPr>
        <w:t xml:space="preserve">سابق </w:t>
      </w:r>
      <w:r>
        <w:rPr>
          <w:rFonts w:hint="cs"/>
          <w:color w:val="000000"/>
          <w:rtl/>
          <w:lang w:bidi="ar-MA"/>
        </w:rPr>
        <w:t>، ص : 61 .</w:t>
      </w:r>
    </w:p>
  </w:footnote>
  <w:footnote w:id="8">
    <w:p w:rsidR="007C3EF1" w:rsidRPr="002C465A" w:rsidRDefault="007C3EF1" w:rsidP="007C3EF1">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وللمزيد من التفاصيل حول الضمانات والامتيازات التي تيمتع بها قضاة المحكمة الأوربية راجع : </w:t>
      </w:r>
    </w:p>
    <w:p w:rsidR="007C3EF1" w:rsidRPr="002C465A" w:rsidRDefault="007C3EF1" w:rsidP="007C3EF1">
      <w:pPr>
        <w:pStyle w:val="Notedebasdepage"/>
        <w:jc w:val="both"/>
        <w:rPr>
          <w:color w:val="000000"/>
          <w:lang w:bidi="ar-MA"/>
        </w:rPr>
      </w:pPr>
      <w:r w:rsidRPr="00A15E30">
        <w:rPr>
          <w:b/>
          <w:bCs/>
          <w:color w:val="000000"/>
          <w:lang w:bidi="ar-MA"/>
        </w:rPr>
        <w:t>Marc andréEissen</w:t>
      </w:r>
      <w:r w:rsidRPr="002C465A">
        <w:rPr>
          <w:color w:val="000000"/>
          <w:lang w:bidi="ar-MA"/>
        </w:rPr>
        <w:t> : «  la cour européenne des droits de l’homme » A</w:t>
      </w:r>
      <w:r>
        <w:rPr>
          <w:color w:val="000000"/>
          <w:lang w:bidi="ar-MA"/>
        </w:rPr>
        <w:t>F</w:t>
      </w:r>
      <w:r w:rsidRPr="002C465A">
        <w:rPr>
          <w:color w:val="000000"/>
          <w:lang w:bidi="ar-MA"/>
        </w:rPr>
        <w:t>DI </w:t>
      </w:r>
      <w:r>
        <w:rPr>
          <w:color w:val="000000"/>
          <w:rtl/>
          <w:lang w:bidi="ar-MA"/>
        </w:rPr>
        <w:t>،</w:t>
      </w:r>
      <w:r w:rsidRPr="002C465A">
        <w:rPr>
          <w:color w:val="000000"/>
          <w:lang w:bidi="ar-MA"/>
        </w:rPr>
        <w:t xml:space="preserve"> 1959 </w:t>
      </w:r>
      <w:r>
        <w:rPr>
          <w:color w:val="000000"/>
          <w:rtl/>
          <w:lang w:bidi="ar-MA"/>
        </w:rPr>
        <w:t>،</w:t>
      </w:r>
      <w:r w:rsidRPr="002C465A">
        <w:rPr>
          <w:color w:val="000000"/>
          <w:lang w:bidi="ar-MA"/>
        </w:rPr>
        <w:t xml:space="preserve"> p : 619 et suiv</w:t>
      </w:r>
      <w:r>
        <w:rPr>
          <w:rFonts w:hint="cs"/>
          <w:color w:val="000000"/>
          <w:rtl/>
          <w:lang w:bidi="ar-MA"/>
        </w:rPr>
        <w:t>.</w:t>
      </w:r>
    </w:p>
  </w:footnote>
  <w:footnote w:id="9">
    <w:p w:rsidR="007C3EF1" w:rsidRPr="002C465A" w:rsidRDefault="007C3EF1" w:rsidP="007C3EF1">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وكان أن أوضحت المادة 4 من النظام الداخلي للمحكمة بعض القواعد الخاصة بممارسة القضاة لعملهم حيث لا يحق للقاضي أن يمارس مهمته طالما أنه يشغل منصب وزير في دولة متعاقدة أو أن يمارس أية وظيفة قد تؤثر على نزاهة واستقلاله كقاضي </w:t>
      </w:r>
      <w:r>
        <w:rPr>
          <w:rFonts w:hint="cs"/>
          <w:color w:val="000000"/>
          <w:rtl/>
          <w:lang w:bidi="ar-MA"/>
        </w:rPr>
        <w:t>،</w:t>
      </w:r>
      <w:r w:rsidRPr="002C465A">
        <w:rPr>
          <w:rFonts w:hint="cs"/>
          <w:color w:val="000000"/>
          <w:rtl/>
          <w:lang w:bidi="ar-MA"/>
        </w:rPr>
        <w:t xml:space="preserve"> ومن ناحية ثانية لا يجوز للقاضي أن ينظر في قضية له فيها مصلحة شخصيته أو أن يمثل أحد أطرافها كمستشار أو محام أو من سبق كان قاضيا في محكمة عرضت عليها نفس </w:t>
      </w:r>
      <w:r>
        <w:rPr>
          <w:rFonts w:hint="cs"/>
          <w:color w:val="000000"/>
          <w:rtl/>
          <w:lang w:bidi="ar-MA"/>
        </w:rPr>
        <w:t>القضية  ...</w:t>
      </w:r>
    </w:p>
  </w:footnote>
  <w:footnote w:id="10">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انظر : </w:t>
      </w:r>
    </w:p>
    <w:p w:rsidR="007C3EF1" w:rsidRPr="002C465A" w:rsidRDefault="007C3EF1" w:rsidP="007C3EF1">
      <w:pPr>
        <w:pStyle w:val="Notedebasdepage"/>
        <w:rPr>
          <w:color w:val="000000"/>
          <w:lang w:bidi="ar-MA"/>
        </w:rPr>
      </w:pPr>
      <w:r w:rsidRPr="00EA22BB">
        <w:rPr>
          <w:b/>
          <w:bCs/>
          <w:color w:val="000000"/>
          <w:lang w:bidi="ar-MA"/>
        </w:rPr>
        <w:t>- F.Sudre </w:t>
      </w:r>
      <w:r w:rsidRPr="002C465A">
        <w:rPr>
          <w:color w:val="000000"/>
          <w:lang w:bidi="ar-MA"/>
        </w:rPr>
        <w:t xml:space="preserve">: « l a convention européenne des droits de l’homme » </w:t>
      </w:r>
      <w:r>
        <w:rPr>
          <w:color w:val="000000"/>
          <w:lang w:bidi="ar-MA"/>
        </w:rPr>
        <w:t xml:space="preserve">Collection que-sais-je ? N° 2531 </w:t>
      </w:r>
      <w:r>
        <w:rPr>
          <w:color w:val="000000"/>
          <w:rtl/>
          <w:lang w:bidi="ar-MA"/>
        </w:rPr>
        <w:t>،</w:t>
      </w:r>
      <w:r>
        <w:rPr>
          <w:color w:val="000000"/>
          <w:lang w:bidi="ar-MA"/>
        </w:rPr>
        <w:t xml:space="preserve"> 1</w:t>
      </w:r>
      <w:r w:rsidRPr="00B1665F">
        <w:rPr>
          <w:color w:val="000000"/>
          <w:vertAlign w:val="superscript"/>
          <w:lang w:bidi="ar-MA"/>
        </w:rPr>
        <w:t>ère</w:t>
      </w:r>
      <w:r>
        <w:rPr>
          <w:color w:val="000000"/>
          <w:lang w:bidi="ar-MA"/>
        </w:rPr>
        <w:t xml:space="preserve"> édition </w:t>
      </w:r>
      <w:r>
        <w:rPr>
          <w:color w:val="000000"/>
          <w:rtl/>
          <w:lang w:bidi="ar-MA"/>
        </w:rPr>
        <w:t>،</w:t>
      </w:r>
      <w:r>
        <w:rPr>
          <w:color w:val="000000"/>
          <w:lang w:bidi="ar-MA"/>
        </w:rPr>
        <w:t>Puf </w:t>
      </w:r>
      <w:r>
        <w:rPr>
          <w:color w:val="000000"/>
          <w:rtl/>
          <w:lang w:bidi="ar-MA"/>
        </w:rPr>
        <w:t>،</w:t>
      </w:r>
      <w:r>
        <w:rPr>
          <w:color w:val="000000"/>
          <w:lang w:bidi="ar-MA"/>
        </w:rPr>
        <w:t xml:space="preserve"> Paris </w:t>
      </w:r>
      <w:r>
        <w:rPr>
          <w:color w:val="000000"/>
          <w:rtl/>
          <w:lang w:bidi="ar-MA"/>
        </w:rPr>
        <w:t>،</w:t>
      </w:r>
      <w:r>
        <w:rPr>
          <w:color w:val="000000"/>
          <w:lang w:bidi="ar-MA"/>
        </w:rPr>
        <w:t xml:space="preserve"> Mars </w:t>
      </w:r>
      <w:r>
        <w:rPr>
          <w:color w:val="000000"/>
          <w:rtl/>
          <w:lang w:bidi="ar-MA"/>
        </w:rPr>
        <w:t>،</w:t>
      </w:r>
      <w:r>
        <w:rPr>
          <w:color w:val="000000"/>
          <w:lang w:bidi="ar-MA"/>
        </w:rPr>
        <w:t>1990 . p : 48.</w:t>
      </w:r>
    </w:p>
  </w:footnote>
  <w:footnote w:id="11">
    <w:p w:rsidR="007C3EF1" w:rsidRPr="002C465A" w:rsidRDefault="007C3EF1" w:rsidP="007C3EF1">
      <w:pPr>
        <w:pStyle w:val="Notedebasdepage"/>
        <w:bidi/>
        <w:rPr>
          <w:color w:val="000000"/>
          <w:rtl/>
          <w:lang w:bidi="ar-MA"/>
        </w:rPr>
      </w:pPr>
      <w:r w:rsidRPr="002C465A">
        <w:rPr>
          <w:rStyle w:val="Appelnotedebasdep"/>
          <w:color w:val="000000"/>
        </w:rPr>
        <w:footnoteRef/>
      </w:r>
      <w:r w:rsidRPr="00B1665F">
        <w:rPr>
          <w:rFonts w:hint="cs"/>
          <w:b/>
          <w:bCs/>
          <w:color w:val="000000"/>
          <w:rtl/>
          <w:lang w:bidi="ar-MA"/>
        </w:rPr>
        <w:t>ـ عمر بندورو</w:t>
      </w:r>
      <w:r>
        <w:rPr>
          <w:rFonts w:hint="cs"/>
          <w:color w:val="000000"/>
          <w:rtl/>
          <w:lang w:bidi="ar-MA"/>
        </w:rPr>
        <w:t xml:space="preserve">، مرجع </w:t>
      </w:r>
      <w:r w:rsidRPr="002C465A">
        <w:rPr>
          <w:rFonts w:hint="cs"/>
          <w:color w:val="000000"/>
          <w:rtl/>
          <w:lang w:bidi="ar-MA"/>
        </w:rPr>
        <w:t xml:space="preserve">سابق </w:t>
      </w:r>
      <w:r>
        <w:rPr>
          <w:rFonts w:hint="cs"/>
          <w:color w:val="000000"/>
          <w:rtl/>
          <w:lang w:bidi="ar-MA"/>
        </w:rPr>
        <w:t>، ص : 62 .</w:t>
      </w:r>
    </w:p>
  </w:footnote>
  <w:footnote w:id="12">
    <w:p w:rsidR="007C3EF1" w:rsidRPr="00EA22BB" w:rsidRDefault="007C3EF1" w:rsidP="007C3EF1">
      <w:pPr>
        <w:pStyle w:val="Notedebasdepage"/>
        <w:rPr>
          <w:lang w:bidi="ar-MA"/>
        </w:rPr>
      </w:pPr>
      <w:r w:rsidRPr="00EA22BB">
        <w:rPr>
          <w:rStyle w:val="Appelnotedebasdep"/>
          <w:b/>
          <w:bCs/>
        </w:rPr>
        <w:footnoteRef/>
      </w:r>
      <w:r>
        <w:rPr>
          <w:rFonts w:hint="cs"/>
          <w:b/>
          <w:bCs/>
          <w:rtl/>
          <w:lang w:bidi="ar-MA"/>
        </w:rPr>
        <w:t>-</w:t>
      </w:r>
      <w:r w:rsidRPr="00EA22BB">
        <w:rPr>
          <w:b/>
          <w:bCs/>
          <w:lang w:bidi="ar-MA"/>
        </w:rPr>
        <w:t>F.Sudre</w:t>
      </w:r>
      <w:r>
        <w:rPr>
          <w:lang w:bidi="ar-MA"/>
        </w:rPr>
        <w:t> : «  droit internation et eupropéene des droits de l’homme » op.cit . p : 276 et suiv .</w:t>
      </w:r>
    </w:p>
  </w:footnote>
  <w:footnote w:id="13">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E413C9">
        <w:rPr>
          <w:rFonts w:hint="cs"/>
          <w:b/>
          <w:bCs/>
          <w:color w:val="000000"/>
          <w:rtl/>
          <w:lang w:bidi="ar-MA"/>
        </w:rPr>
        <w:t xml:space="preserve">بضري محمد </w:t>
      </w:r>
      <w:r>
        <w:rPr>
          <w:rFonts w:hint="cs"/>
          <w:b/>
          <w:bCs/>
          <w:color w:val="000000"/>
          <w:rtl/>
          <w:lang w:bidi="ar-MA"/>
        </w:rPr>
        <w:t>،</w:t>
      </w:r>
      <w:r w:rsidRPr="002C465A">
        <w:rPr>
          <w:rFonts w:hint="cs"/>
          <w:color w:val="000000"/>
          <w:rtl/>
          <w:lang w:bidi="ar-MA"/>
        </w:rPr>
        <w:t xml:space="preserve"> مرجع سابق </w:t>
      </w:r>
      <w:r>
        <w:rPr>
          <w:rFonts w:hint="cs"/>
          <w:color w:val="000000"/>
          <w:rtl/>
          <w:lang w:bidi="ar-MA"/>
        </w:rPr>
        <w:t>، ص : 41 .</w:t>
      </w:r>
    </w:p>
  </w:footnote>
  <w:footnote w:id="14">
    <w:p w:rsidR="007C3EF1" w:rsidRPr="002C465A" w:rsidRDefault="007C3EF1" w:rsidP="007C3EF1">
      <w:pPr>
        <w:pStyle w:val="Notedebasdepage"/>
        <w:bidi/>
        <w:rPr>
          <w:color w:val="000000"/>
          <w:rtl/>
          <w:lang w:bidi="ar-MA"/>
        </w:rPr>
      </w:pPr>
      <w:r w:rsidRPr="002C465A">
        <w:rPr>
          <w:rStyle w:val="Appelnotedebasdep"/>
          <w:color w:val="000000"/>
        </w:rPr>
        <w:footnoteRef/>
      </w:r>
      <w:r>
        <w:rPr>
          <w:rFonts w:hint="cs"/>
          <w:color w:val="000000"/>
          <w:rtl/>
          <w:lang w:bidi="ar-MA"/>
        </w:rPr>
        <w:t xml:space="preserve">  ـ إن الدور الذي تقوم به</w:t>
      </w:r>
      <w:r w:rsidRPr="002C465A">
        <w:rPr>
          <w:rFonts w:hint="cs"/>
          <w:color w:val="000000"/>
          <w:rtl/>
          <w:lang w:bidi="ar-MA"/>
        </w:rPr>
        <w:t xml:space="preserve"> المحكمة الأوربية لحقوق الإنسان في إعطاء آراء استشارية يعتبر ضئيلا بالمقارنة مع دور المحكمة الأمريكية لحقوق الإنسان </w:t>
      </w:r>
      <w:r>
        <w:rPr>
          <w:rFonts w:hint="cs"/>
          <w:color w:val="000000"/>
          <w:rtl/>
          <w:lang w:bidi="ar-MA"/>
        </w:rPr>
        <w:t>،</w:t>
      </w:r>
      <w:r w:rsidRPr="002C465A">
        <w:rPr>
          <w:rFonts w:hint="cs"/>
          <w:color w:val="000000"/>
          <w:rtl/>
          <w:lang w:bidi="ar-MA"/>
        </w:rPr>
        <w:t xml:space="preserve"> فبمقتضى المادة 64 من معاهدة سان خوصي </w:t>
      </w:r>
      <w:r>
        <w:rPr>
          <w:rFonts w:hint="cs"/>
          <w:color w:val="000000"/>
          <w:rtl/>
          <w:lang w:bidi="ar-MA"/>
        </w:rPr>
        <w:t>،</w:t>
      </w:r>
      <w:r w:rsidRPr="002C465A">
        <w:rPr>
          <w:rFonts w:hint="cs"/>
          <w:color w:val="000000"/>
          <w:rtl/>
          <w:lang w:bidi="ar-MA"/>
        </w:rPr>
        <w:t xml:space="preserve"> يحق لكل دولة عضو في المنظمة دون أن تكون طرفا في </w:t>
      </w:r>
      <w:r>
        <w:rPr>
          <w:rFonts w:hint="cs"/>
          <w:color w:val="000000"/>
          <w:rtl/>
          <w:lang w:bidi="ar-MA"/>
        </w:rPr>
        <w:t>الاتفاقية طلب من المحكمة إصدار آ</w:t>
      </w:r>
      <w:r w:rsidRPr="002C465A">
        <w:rPr>
          <w:rFonts w:hint="cs"/>
          <w:color w:val="000000"/>
          <w:rtl/>
          <w:lang w:bidi="ar-MA"/>
        </w:rPr>
        <w:t xml:space="preserve">راء استشارية  ،  انظر : </w:t>
      </w:r>
    </w:p>
    <w:p w:rsidR="007C3EF1" w:rsidRPr="002C465A" w:rsidRDefault="007C3EF1" w:rsidP="007C3EF1">
      <w:pPr>
        <w:pStyle w:val="Notedebasdepage"/>
        <w:rPr>
          <w:color w:val="000000"/>
          <w:lang w:bidi="ar-MA"/>
        </w:rPr>
      </w:pPr>
      <w:r w:rsidRPr="00CC0846">
        <w:rPr>
          <w:b/>
          <w:bCs/>
          <w:color w:val="000000"/>
          <w:lang w:bidi="ar-MA"/>
        </w:rPr>
        <w:t>F</w:t>
      </w:r>
      <w:r w:rsidRPr="00CC0846">
        <w:rPr>
          <w:rFonts w:hint="cs"/>
          <w:b/>
          <w:bCs/>
          <w:color w:val="000000"/>
          <w:rtl/>
          <w:lang w:bidi="ar-MA"/>
        </w:rPr>
        <w:t>.</w:t>
      </w:r>
      <w:r w:rsidRPr="00CC0846">
        <w:rPr>
          <w:b/>
          <w:bCs/>
          <w:color w:val="000000"/>
          <w:lang w:bidi="ar-MA"/>
        </w:rPr>
        <w:t>Sudre</w:t>
      </w:r>
      <w:r w:rsidRPr="002C465A">
        <w:rPr>
          <w:color w:val="000000"/>
          <w:lang w:bidi="ar-MA"/>
        </w:rPr>
        <w:t xml:space="preserve"> «  droit internation</w:t>
      </w:r>
      <w:r>
        <w:rPr>
          <w:color w:val="000000"/>
          <w:lang w:bidi="ar-MA"/>
        </w:rPr>
        <w:t>al</w:t>
      </w:r>
      <w:r w:rsidRPr="002C465A">
        <w:rPr>
          <w:color w:val="000000"/>
          <w:lang w:bidi="ar-MA"/>
        </w:rPr>
        <w:t> … » op</w:t>
      </w:r>
      <w:r>
        <w:rPr>
          <w:rFonts w:hint="cs"/>
          <w:color w:val="000000"/>
          <w:rtl/>
          <w:lang w:bidi="ar-MA"/>
        </w:rPr>
        <w:t>.</w:t>
      </w:r>
      <w:r w:rsidRPr="002C465A">
        <w:rPr>
          <w:color w:val="000000"/>
          <w:lang w:bidi="ar-MA"/>
        </w:rPr>
        <w:t>cit</w:t>
      </w:r>
      <w:r>
        <w:rPr>
          <w:rFonts w:hint="cs"/>
          <w:color w:val="000000"/>
          <w:rtl/>
          <w:lang w:bidi="ar-MA"/>
        </w:rPr>
        <w:t>.</w:t>
      </w:r>
      <w:r w:rsidRPr="002C465A">
        <w:rPr>
          <w:color w:val="000000"/>
          <w:lang w:bidi="ar-MA"/>
        </w:rPr>
        <w:t xml:space="preserve"> P : 234</w:t>
      </w:r>
      <w:r>
        <w:rPr>
          <w:rFonts w:hint="cs"/>
          <w:color w:val="000000"/>
          <w:rtl/>
          <w:lang w:bidi="ar-MA"/>
        </w:rPr>
        <w:t>.</w:t>
      </w:r>
    </w:p>
  </w:footnote>
  <w:footnote w:id="15">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انظر : </w:t>
      </w:r>
    </w:p>
    <w:p w:rsidR="007C3EF1" w:rsidRPr="002C465A" w:rsidRDefault="007C3EF1" w:rsidP="007C3EF1">
      <w:pPr>
        <w:pStyle w:val="Notedebasdepage"/>
        <w:rPr>
          <w:color w:val="000000"/>
          <w:lang w:bidi="ar-MA"/>
        </w:rPr>
      </w:pPr>
      <w:r w:rsidRPr="00CC0846">
        <w:rPr>
          <w:b/>
          <w:bCs/>
          <w:color w:val="000000"/>
          <w:lang w:bidi="ar-MA"/>
        </w:rPr>
        <w:t>Yves madiot</w:t>
      </w:r>
      <w:r w:rsidRPr="002C465A">
        <w:rPr>
          <w:color w:val="000000"/>
          <w:lang w:bidi="ar-MA"/>
        </w:rPr>
        <w:t xml:space="preserve"> : « les droits de l’homme » </w:t>
      </w:r>
      <w:r>
        <w:rPr>
          <w:rFonts w:hint="cs"/>
          <w:color w:val="000000"/>
          <w:rtl/>
          <w:lang w:bidi="ar-MA"/>
        </w:rPr>
        <w:t>.</w:t>
      </w:r>
      <w:r w:rsidRPr="002C465A">
        <w:rPr>
          <w:color w:val="000000"/>
          <w:lang w:bidi="ar-MA"/>
        </w:rPr>
        <w:t>op</w:t>
      </w:r>
      <w:r>
        <w:rPr>
          <w:rFonts w:hint="cs"/>
          <w:color w:val="000000"/>
          <w:rtl/>
          <w:lang w:bidi="ar-MA"/>
        </w:rPr>
        <w:t>.</w:t>
      </w:r>
      <w:r w:rsidRPr="002C465A">
        <w:rPr>
          <w:color w:val="000000"/>
          <w:lang w:bidi="ar-MA"/>
        </w:rPr>
        <w:t>cit</w:t>
      </w:r>
      <w:r>
        <w:rPr>
          <w:rFonts w:hint="cs"/>
          <w:color w:val="000000"/>
          <w:rtl/>
          <w:lang w:bidi="ar-MA"/>
        </w:rPr>
        <w:t>.</w:t>
      </w:r>
      <w:r w:rsidRPr="002C465A">
        <w:rPr>
          <w:color w:val="000000"/>
          <w:lang w:bidi="ar-MA"/>
        </w:rPr>
        <w:t xml:space="preserve"> p : 199</w:t>
      </w:r>
      <w:r>
        <w:rPr>
          <w:rFonts w:hint="cs"/>
          <w:color w:val="000000"/>
          <w:rtl/>
          <w:lang w:bidi="ar-MA"/>
        </w:rPr>
        <w:t>.</w:t>
      </w:r>
    </w:p>
  </w:footnote>
  <w:footnote w:id="16">
    <w:p w:rsidR="007C3EF1" w:rsidRPr="002C465A" w:rsidRDefault="007C3EF1" w:rsidP="007C3EF1">
      <w:pPr>
        <w:pStyle w:val="Notedebasdepage"/>
        <w:bidi/>
        <w:rPr>
          <w:color w:val="000000"/>
          <w:rtl/>
          <w:lang w:bidi="ar-MA"/>
        </w:rPr>
      </w:pPr>
      <w:r w:rsidRPr="00CC0846">
        <w:rPr>
          <w:rStyle w:val="Appelnotedebasdep"/>
          <w:b/>
          <w:bCs/>
          <w:color w:val="000000"/>
        </w:rPr>
        <w:footnoteRef/>
      </w:r>
      <w:r w:rsidRPr="00CC0846">
        <w:rPr>
          <w:rFonts w:hint="cs"/>
          <w:b/>
          <w:bCs/>
          <w:color w:val="000000"/>
          <w:rtl/>
          <w:lang w:bidi="ar-MA"/>
        </w:rPr>
        <w:t xml:space="preserve"> ـ ابراهيم العناني</w:t>
      </w:r>
      <w:r w:rsidRPr="002C465A">
        <w:rPr>
          <w:rFonts w:hint="cs"/>
          <w:color w:val="000000"/>
          <w:rtl/>
          <w:lang w:bidi="ar-MA"/>
        </w:rPr>
        <w:t xml:space="preserve"> : دراسة حول الاتفاقية الأوربية لحماية حقوق الإنسان </w:t>
      </w:r>
      <w:r>
        <w:rPr>
          <w:rFonts w:hint="cs"/>
          <w:color w:val="000000"/>
          <w:rtl/>
          <w:lang w:bidi="ar-MA"/>
        </w:rPr>
        <w:t>،</w:t>
      </w:r>
      <w:r w:rsidRPr="002C465A">
        <w:rPr>
          <w:rFonts w:hint="cs"/>
          <w:color w:val="000000"/>
          <w:rtl/>
          <w:lang w:bidi="ar-MA"/>
        </w:rPr>
        <w:t xml:space="preserve"> بحث منشور في حقوق الإنسان </w:t>
      </w:r>
      <w:r>
        <w:rPr>
          <w:rFonts w:hint="cs"/>
          <w:color w:val="000000"/>
          <w:rtl/>
          <w:lang w:bidi="ar-MA"/>
        </w:rPr>
        <w:t>،</w:t>
      </w:r>
      <w:r w:rsidRPr="002C465A">
        <w:rPr>
          <w:rFonts w:hint="cs"/>
          <w:color w:val="000000"/>
          <w:rtl/>
          <w:lang w:bidi="ar-MA"/>
        </w:rPr>
        <w:t xml:space="preserve"> المجلد : 2 </w:t>
      </w:r>
      <w:r>
        <w:rPr>
          <w:rFonts w:hint="cs"/>
          <w:color w:val="000000"/>
          <w:rtl/>
          <w:lang w:bidi="ar-MA"/>
        </w:rPr>
        <w:t>،</w:t>
      </w:r>
      <w:r w:rsidRPr="002C465A">
        <w:rPr>
          <w:rFonts w:hint="cs"/>
          <w:color w:val="000000"/>
          <w:rtl/>
          <w:lang w:bidi="ar-MA"/>
        </w:rPr>
        <w:t xml:space="preserve"> إعداد : محمود شريف بسيوني </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 ص : 367 .</w:t>
      </w:r>
    </w:p>
  </w:footnote>
  <w:footnote w:id="17">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وقد شكلت المحكمة أول غرفة من 9 أعضاء لأول مرة في 1990 بعد دخول البروتوكول الثامن حيز التنفيذ </w:t>
      </w:r>
      <w:r>
        <w:rPr>
          <w:rFonts w:hint="cs"/>
          <w:color w:val="000000"/>
          <w:rtl/>
          <w:lang w:bidi="ar-MA"/>
        </w:rPr>
        <w:t>،</w:t>
      </w:r>
      <w:r w:rsidRPr="002C465A">
        <w:rPr>
          <w:rFonts w:hint="cs"/>
          <w:color w:val="000000"/>
          <w:rtl/>
          <w:lang w:bidi="ar-MA"/>
        </w:rPr>
        <w:t xml:space="preserve"> أما قبل هذا التاريخ</w:t>
      </w:r>
      <w:r>
        <w:rPr>
          <w:rFonts w:hint="cs"/>
          <w:color w:val="000000"/>
          <w:rtl/>
          <w:lang w:bidi="ar-MA"/>
        </w:rPr>
        <w:t>،</w:t>
      </w:r>
      <w:r w:rsidRPr="002C465A">
        <w:rPr>
          <w:rFonts w:hint="cs"/>
          <w:color w:val="000000"/>
          <w:rtl/>
          <w:lang w:bidi="ar-MA"/>
        </w:rPr>
        <w:t xml:space="preserve"> فقد كانت </w:t>
      </w:r>
      <w:r>
        <w:rPr>
          <w:rFonts w:hint="cs"/>
          <w:color w:val="000000"/>
          <w:rtl/>
          <w:lang w:bidi="ar-MA"/>
        </w:rPr>
        <w:t>الغرفة تتكون من 7 أعضاء فقط .</w:t>
      </w:r>
    </w:p>
  </w:footnote>
  <w:footnote w:id="18">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CC0846">
        <w:rPr>
          <w:rFonts w:hint="cs"/>
          <w:b/>
          <w:bCs/>
          <w:color w:val="000000"/>
          <w:rtl/>
          <w:lang w:bidi="ar-MA"/>
        </w:rPr>
        <w:t>عمر بندورو</w:t>
      </w:r>
      <w:r>
        <w:rPr>
          <w:rFonts w:hint="cs"/>
          <w:color w:val="000000"/>
          <w:rtl/>
          <w:lang w:bidi="ar-MA"/>
        </w:rPr>
        <w:t xml:space="preserve"> : مرجع </w:t>
      </w:r>
      <w:r w:rsidRPr="002C465A">
        <w:rPr>
          <w:rFonts w:hint="cs"/>
          <w:color w:val="000000"/>
          <w:rtl/>
          <w:lang w:bidi="ar-MA"/>
        </w:rPr>
        <w:t xml:space="preserve">سابق </w:t>
      </w:r>
      <w:r>
        <w:rPr>
          <w:rFonts w:hint="cs"/>
          <w:color w:val="000000"/>
          <w:rtl/>
          <w:lang w:bidi="ar-MA"/>
        </w:rPr>
        <w:t>،</w:t>
      </w:r>
      <w:r w:rsidRPr="002C465A">
        <w:rPr>
          <w:rFonts w:hint="cs"/>
          <w:color w:val="000000"/>
          <w:rtl/>
          <w:lang w:bidi="ar-MA"/>
        </w:rPr>
        <w:t xml:space="preserve"> ص : 72 وأيضا : </w:t>
      </w:r>
    </w:p>
    <w:p w:rsidR="007C3EF1" w:rsidRPr="002C465A" w:rsidRDefault="007C3EF1" w:rsidP="007C3EF1">
      <w:pPr>
        <w:pStyle w:val="Notedebasdepage"/>
        <w:rPr>
          <w:color w:val="000000"/>
          <w:rtl/>
          <w:lang w:bidi="ar-MA"/>
        </w:rPr>
      </w:pPr>
      <w:r w:rsidRPr="00CC0846">
        <w:rPr>
          <w:b/>
          <w:bCs/>
          <w:color w:val="000000"/>
          <w:lang w:bidi="ar-MA"/>
        </w:rPr>
        <w:t>F.Sudre</w:t>
      </w:r>
      <w:r w:rsidRPr="002C465A">
        <w:rPr>
          <w:color w:val="000000"/>
          <w:lang w:bidi="ar-MA"/>
        </w:rPr>
        <w:t> : «  le droit internation</w:t>
      </w:r>
      <w:r>
        <w:rPr>
          <w:color w:val="000000"/>
          <w:lang w:bidi="ar-MA"/>
        </w:rPr>
        <w:t>al</w:t>
      </w:r>
      <w:r w:rsidRPr="002C465A">
        <w:rPr>
          <w:color w:val="000000"/>
          <w:lang w:bidi="ar-MA"/>
        </w:rPr>
        <w:t xml:space="preserve"> …</w:t>
      </w:r>
      <w:r w:rsidRPr="002C465A">
        <w:rPr>
          <w:color w:val="000000"/>
          <w:rtl/>
          <w:lang w:bidi="ar-MA"/>
        </w:rPr>
        <w:t xml:space="preserve"> ، </w:t>
      </w:r>
      <w:r w:rsidRPr="002C465A">
        <w:rPr>
          <w:color w:val="000000"/>
          <w:lang w:bidi="ar-MA"/>
        </w:rPr>
        <w:t> » op</w:t>
      </w:r>
      <w:r>
        <w:rPr>
          <w:rFonts w:hint="cs"/>
          <w:color w:val="000000"/>
          <w:rtl/>
          <w:lang w:bidi="ar-MA"/>
        </w:rPr>
        <w:t>.</w:t>
      </w:r>
      <w:r w:rsidRPr="002C465A">
        <w:rPr>
          <w:color w:val="000000"/>
          <w:lang w:bidi="ar-MA"/>
        </w:rPr>
        <w:t>cit</w:t>
      </w:r>
      <w:r>
        <w:rPr>
          <w:rFonts w:hint="cs"/>
          <w:color w:val="000000"/>
          <w:rtl/>
          <w:lang w:bidi="ar-MA"/>
        </w:rPr>
        <w:t>.</w:t>
      </w:r>
      <w:r w:rsidRPr="002C465A">
        <w:rPr>
          <w:color w:val="000000"/>
          <w:lang w:bidi="ar-MA"/>
        </w:rPr>
        <w:t xml:space="preserve"> p : 230</w:t>
      </w:r>
      <w:r>
        <w:rPr>
          <w:rFonts w:hint="cs"/>
          <w:color w:val="000000"/>
          <w:rtl/>
          <w:lang w:bidi="ar-MA"/>
        </w:rPr>
        <w:t>.</w:t>
      </w:r>
    </w:p>
  </w:footnote>
  <w:footnote w:id="19">
    <w:p w:rsidR="007C3EF1" w:rsidRPr="002C465A" w:rsidRDefault="007C3EF1" w:rsidP="007C3EF1">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 وقد تنازلت الغرفة لأول مرة لصالح المحكمة عن القضية الخاصة ببعض جوانب نظام التعليم اللغوي في بلجيكا </w:t>
      </w:r>
      <w:r>
        <w:rPr>
          <w:rFonts w:hint="cs"/>
          <w:color w:val="000000"/>
          <w:rtl/>
          <w:lang w:bidi="ar-MA"/>
        </w:rPr>
        <w:t>،</w:t>
      </w:r>
      <w:r w:rsidRPr="002C465A">
        <w:rPr>
          <w:rFonts w:hint="cs"/>
          <w:color w:val="000000"/>
          <w:rtl/>
          <w:lang w:bidi="ar-MA"/>
        </w:rPr>
        <w:t xml:space="preserve"> في الثالث من شهر يوليو 1966</w:t>
      </w:r>
      <w:r>
        <w:rPr>
          <w:rFonts w:hint="cs"/>
          <w:color w:val="000000"/>
          <w:rtl/>
          <w:lang w:bidi="ar-MA"/>
        </w:rPr>
        <w:t>،</w:t>
      </w:r>
      <w:r w:rsidRPr="002C465A">
        <w:rPr>
          <w:rFonts w:hint="cs"/>
          <w:color w:val="000000"/>
          <w:rtl/>
          <w:lang w:bidi="ar-MA"/>
        </w:rPr>
        <w:t xml:space="preserve"> وتم التنازل بناء على طلب الدولة المشتكى منها </w:t>
      </w:r>
      <w:r>
        <w:rPr>
          <w:rFonts w:hint="cs"/>
          <w:color w:val="000000"/>
          <w:rtl/>
          <w:lang w:bidi="ar-MA"/>
        </w:rPr>
        <w:t>،</w:t>
      </w:r>
      <w:r w:rsidRPr="002C465A">
        <w:rPr>
          <w:rFonts w:hint="cs"/>
          <w:color w:val="000000"/>
          <w:rtl/>
          <w:lang w:bidi="ar-MA"/>
        </w:rPr>
        <w:t xml:space="preserve"> وتكرر التنازل فيما بعد </w:t>
      </w:r>
      <w:r>
        <w:rPr>
          <w:rFonts w:hint="cs"/>
          <w:color w:val="000000"/>
          <w:rtl/>
          <w:lang w:bidi="ar-MA"/>
        </w:rPr>
        <w:t xml:space="preserve">، أنظر : </w:t>
      </w:r>
      <w:r w:rsidRPr="00CC0846">
        <w:rPr>
          <w:rFonts w:hint="cs"/>
          <w:b/>
          <w:bCs/>
          <w:color w:val="000000"/>
          <w:rtl/>
          <w:lang w:bidi="ar-MA"/>
        </w:rPr>
        <w:t>ـ محمد أمين الميداني</w:t>
      </w:r>
      <w:r>
        <w:rPr>
          <w:rFonts w:hint="cs"/>
          <w:color w:val="000000"/>
          <w:rtl/>
          <w:lang w:bidi="ar-MA"/>
        </w:rPr>
        <w:t xml:space="preserve"> : النظام الأوربي لحماية حقوق الإنسان، مرجع </w:t>
      </w:r>
      <w:r w:rsidRPr="002C465A">
        <w:rPr>
          <w:rFonts w:hint="cs"/>
          <w:color w:val="000000"/>
          <w:rtl/>
          <w:lang w:bidi="ar-MA"/>
        </w:rPr>
        <w:t xml:space="preserve">سابق </w:t>
      </w:r>
      <w:r>
        <w:rPr>
          <w:rFonts w:hint="cs"/>
          <w:color w:val="000000"/>
          <w:rtl/>
          <w:lang w:bidi="ar-MA"/>
        </w:rPr>
        <w:t>، ص : 83 .</w:t>
      </w:r>
    </w:p>
  </w:footnote>
  <w:footnote w:id="20">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CC0846">
        <w:rPr>
          <w:rFonts w:hint="cs"/>
          <w:b/>
          <w:bCs/>
          <w:color w:val="000000"/>
          <w:rtl/>
          <w:lang w:bidi="ar-MA"/>
        </w:rPr>
        <w:t>عمر بندورو</w:t>
      </w:r>
      <w:r>
        <w:rPr>
          <w:rFonts w:hint="cs"/>
          <w:color w:val="000000"/>
          <w:rtl/>
          <w:lang w:bidi="ar-MA"/>
        </w:rPr>
        <w:t xml:space="preserve"> ،</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72 </w:t>
      </w:r>
      <w:r>
        <w:rPr>
          <w:rFonts w:hint="cs"/>
          <w:color w:val="000000"/>
          <w:rtl/>
          <w:lang w:bidi="ar-MA"/>
        </w:rPr>
        <w:t>.</w:t>
      </w:r>
    </w:p>
    <w:p w:rsidR="007C3EF1" w:rsidRPr="002C465A" w:rsidRDefault="007C3EF1" w:rsidP="007C3EF1">
      <w:pPr>
        <w:pStyle w:val="Notedebasdepage"/>
        <w:bidi/>
        <w:rPr>
          <w:color w:val="000000"/>
          <w:rtl/>
          <w:lang w:bidi="ar-MA"/>
        </w:rPr>
      </w:pPr>
      <w:r w:rsidRPr="002C465A">
        <w:rPr>
          <w:rFonts w:hint="cs"/>
          <w:color w:val="000000"/>
          <w:rtl/>
          <w:lang w:bidi="ar-MA"/>
        </w:rPr>
        <w:t xml:space="preserve">وأيضا : </w:t>
      </w:r>
    </w:p>
    <w:p w:rsidR="007C3EF1" w:rsidRPr="002C465A" w:rsidRDefault="007C3EF1" w:rsidP="007C3EF1">
      <w:pPr>
        <w:pStyle w:val="Notedebasdepage"/>
        <w:rPr>
          <w:color w:val="000000"/>
          <w:lang w:bidi="ar-MA"/>
        </w:rPr>
      </w:pPr>
      <w:r>
        <w:rPr>
          <w:b/>
          <w:bCs/>
          <w:color w:val="000000"/>
          <w:lang w:bidi="ar-MA"/>
        </w:rPr>
        <w:t>Gér</w:t>
      </w:r>
      <w:r w:rsidRPr="00CC0846">
        <w:rPr>
          <w:b/>
          <w:bCs/>
          <w:color w:val="000000"/>
          <w:lang w:bidi="ar-MA"/>
        </w:rPr>
        <w:t>ard cohenjonathan</w:t>
      </w:r>
      <w:r w:rsidRPr="002C465A">
        <w:rPr>
          <w:color w:val="000000"/>
          <w:lang w:bidi="ar-MA"/>
        </w:rPr>
        <w:t xml:space="preserve"> : «  la convention européenne des droits de l’homme » collection droit public positif </w:t>
      </w:r>
      <w:r>
        <w:rPr>
          <w:rFonts w:hint="cs"/>
          <w:color w:val="000000"/>
          <w:rtl/>
          <w:lang w:bidi="ar-MA"/>
        </w:rPr>
        <w:t>،</w:t>
      </w:r>
      <w:r w:rsidRPr="002C465A">
        <w:rPr>
          <w:color w:val="000000"/>
          <w:lang w:bidi="ar-MA"/>
        </w:rPr>
        <w:t>Conomica</w:t>
      </w:r>
      <w:r>
        <w:rPr>
          <w:color w:val="000000"/>
          <w:rtl/>
          <w:lang w:bidi="ar-MA"/>
        </w:rPr>
        <w:t>،</w:t>
      </w:r>
      <w:r w:rsidRPr="002C465A">
        <w:rPr>
          <w:color w:val="000000"/>
          <w:lang w:bidi="ar-MA"/>
        </w:rPr>
        <w:t>paris</w:t>
      </w:r>
      <w:r>
        <w:rPr>
          <w:color w:val="000000"/>
          <w:lang w:bidi="ar-MA"/>
        </w:rPr>
        <w:t> </w:t>
      </w:r>
      <w:r>
        <w:rPr>
          <w:color w:val="000000"/>
          <w:rtl/>
          <w:lang w:bidi="ar-MA"/>
        </w:rPr>
        <w:t>،</w:t>
      </w:r>
      <w:r w:rsidRPr="002C465A">
        <w:rPr>
          <w:color w:val="000000"/>
          <w:lang w:bidi="ar-MA"/>
        </w:rPr>
        <w:t xml:space="preserve"> 1989 </w:t>
      </w:r>
      <w:r w:rsidRPr="002C465A">
        <w:rPr>
          <w:color w:val="000000"/>
          <w:rtl/>
          <w:lang w:bidi="ar-MA"/>
        </w:rPr>
        <w:t xml:space="preserve"> ، </w:t>
      </w:r>
      <w:r w:rsidRPr="002C465A">
        <w:rPr>
          <w:color w:val="000000"/>
          <w:lang w:bidi="ar-MA"/>
        </w:rPr>
        <w:t xml:space="preserve"> P : 170 et suiv</w:t>
      </w:r>
      <w:r>
        <w:rPr>
          <w:rFonts w:hint="cs"/>
          <w:color w:val="000000"/>
          <w:rtl/>
          <w:lang w:bidi="ar-MA"/>
        </w:rPr>
        <w:t>.</w:t>
      </w:r>
    </w:p>
  </w:footnote>
  <w:footnote w:id="21">
    <w:p w:rsidR="007C3EF1" w:rsidRPr="002C465A" w:rsidRDefault="007C3EF1" w:rsidP="007C3EF1">
      <w:pPr>
        <w:pStyle w:val="Notedebasdepage"/>
        <w:bidi/>
        <w:rPr>
          <w:color w:val="000000"/>
          <w:rtl/>
          <w:lang w:bidi="ar-MA"/>
        </w:rPr>
      </w:pPr>
      <w:r w:rsidRPr="00CC0846">
        <w:rPr>
          <w:rStyle w:val="Appelnotedebasdep"/>
          <w:b/>
          <w:bCs/>
          <w:color w:val="000000"/>
        </w:rPr>
        <w:footnoteRef/>
      </w:r>
      <w:r w:rsidRPr="00CC0846">
        <w:rPr>
          <w:rFonts w:hint="cs"/>
          <w:b/>
          <w:bCs/>
          <w:color w:val="000000"/>
          <w:rtl/>
          <w:lang w:bidi="ar-MA"/>
        </w:rPr>
        <w:t xml:space="preserve"> - عمر بندورو</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 ص : 72 .</w:t>
      </w:r>
    </w:p>
  </w:footnote>
  <w:footnote w:id="22">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وقد أصدرت المحكمة الأوربية لحقوق الإنسان حكما وحيدا فيما يتعلق بالتفسير </w:t>
      </w:r>
      <w:r>
        <w:rPr>
          <w:rFonts w:hint="cs"/>
          <w:color w:val="000000"/>
          <w:rtl/>
          <w:lang w:bidi="ar-MA"/>
        </w:rPr>
        <w:t>،</w:t>
      </w:r>
      <w:r w:rsidRPr="002C465A">
        <w:rPr>
          <w:rFonts w:hint="cs"/>
          <w:color w:val="000000"/>
          <w:rtl/>
          <w:lang w:bidi="ar-MA"/>
        </w:rPr>
        <w:t xml:space="preserve"> وكان ذلك في تاريخ 22 يونيو 1972 بصدد قضية  </w:t>
      </w:r>
      <w:r w:rsidRPr="002C465A">
        <w:rPr>
          <w:color w:val="000000"/>
          <w:lang w:bidi="ar-MA"/>
        </w:rPr>
        <w:t>Ringeinsen</w:t>
      </w:r>
      <w:r w:rsidRPr="002C465A">
        <w:rPr>
          <w:rFonts w:hint="cs"/>
          <w:color w:val="000000"/>
          <w:rtl/>
          <w:lang w:bidi="ar-MA"/>
        </w:rPr>
        <w:t xml:space="preserve"> راجع : </w:t>
      </w:r>
    </w:p>
    <w:p w:rsidR="007C3EF1" w:rsidRPr="002C465A" w:rsidRDefault="007C3EF1" w:rsidP="007C3EF1">
      <w:pPr>
        <w:pStyle w:val="Notedebasdepage"/>
        <w:rPr>
          <w:color w:val="000000"/>
          <w:lang w:bidi="ar-MA"/>
        </w:rPr>
      </w:pPr>
      <w:r w:rsidRPr="0037430A">
        <w:rPr>
          <w:b/>
          <w:bCs/>
          <w:color w:val="000000"/>
          <w:lang w:bidi="ar-MA"/>
        </w:rPr>
        <w:t>F</w:t>
      </w:r>
      <w:r w:rsidRPr="0037430A">
        <w:rPr>
          <w:rFonts w:hint="cs"/>
          <w:b/>
          <w:bCs/>
          <w:color w:val="000000"/>
          <w:rtl/>
          <w:lang w:bidi="ar-MA"/>
        </w:rPr>
        <w:t>.</w:t>
      </w:r>
      <w:r w:rsidRPr="0037430A">
        <w:rPr>
          <w:b/>
          <w:bCs/>
          <w:color w:val="000000"/>
          <w:lang w:bidi="ar-MA"/>
        </w:rPr>
        <w:t>Sudre</w:t>
      </w:r>
      <w:r w:rsidRPr="002C465A">
        <w:rPr>
          <w:color w:val="000000"/>
          <w:lang w:bidi="ar-MA"/>
        </w:rPr>
        <w:t xml:space="preserve"> : «  droit internation … » </w:t>
      </w:r>
      <w:r w:rsidRPr="002C465A">
        <w:rPr>
          <w:color w:val="000000"/>
          <w:rtl/>
          <w:lang w:bidi="ar-MA"/>
        </w:rPr>
        <w:t xml:space="preserve"> ، </w:t>
      </w:r>
      <w:r w:rsidRPr="002C465A">
        <w:rPr>
          <w:color w:val="000000"/>
          <w:lang w:bidi="ar-MA"/>
        </w:rPr>
        <w:t xml:space="preserve"> op</w:t>
      </w:r>
      <w:r w:rsidRPr="002C465A">
        <w:rPr>
          <w:color w:val="000000"/>
          <w:rtl/>
          <w:lang w:bidi="ar-MA"/>
        </w:rPr>
        <w:t xml:space="preserve"> ، </w:t>
      </w:r>
      <w:r w:rsidRPr="002C465A">
        <w:rPr>
          <w:color w:val="000000"/>
          <w:lang w:bidi="ar-MA"/>
        </w:rPr>
        <w:t>cit</w:t>
      </w:r>
      <w:r w:rsidRPr="002C465A">
        <w:rPr>
          <w:color w:val="000000"/>
          <w:rtl/>
          <w:lang w:bidi="ar-MA"/>
        </w:rPr>
        <w:t xml:space="preserve"> ، </w:t>
      </w:r>
      <w:r w:rsidRPr="002C465A">
        <w:rPr>
          <w:color w:val="000000"/>
          <w:lang w:bidi="ar-MA"/>
        </w:rPr>
        <w:t xml:space="preserve"> p : 329</w:t>
      </w:r>
      <w:r>
        <w:rPr>
          <w:rFonts w:hint="cs"/>
          <w:color w:val="000000"/>
          <w:rtl/>
          <w:lang w:bidi="ar-MA"/>
        </w:rPr>
        <w:t>.</w:t>
      </w:r>
    </w:p>
  </w:footnote>
  <w:footnote w:id="23">
    <w:p w:rsidR="007C3EF1" w:rsidRPr="002C465A" w:rsidRDefault="007C3EF1" w:rsidP="007C3EF1">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المادة 20 م</w:t>
      </w:r>
      <w:r>
        <w:rPr>
          <w:rFonts w:hint="cs"/>
          <w:color w:val="000000"/>
          <w:rtl/>
          <w:lang w:bidi="ar-MA"/>
        </w:rPr>
        <w:t>ن النظام الأساسي لمجلس أوربا .</w:t>
      </w:r>
    </w:p>
  </w:footnote>
  <w:footnote w:id="24">
    <w:p w:rsidR="007C3EF1" w:rsidRPr="002C465A" w:rsidRDefault="007C3EF1" w:rsidP="007C3EF1">
      <w:pPr>
        <w:pStyle w:val="Notedebasdepage"/>
        <w:bidi/>
        <w:jc w:val="both"/>
        <w:rPr>
          <w:color w:val="000000"/>
          <w:rtl/>
          <w:lang w:bidi="ar-MA"/>
        </w:rPr>
      </w:pPr>
      <w:r w:rsidRPr="002C465A">
        <w:rPr>
          <w:rStyle w:val="Appelnotedebasdep"/>
          <w:color w:val="000000"/>
        </w:rPr>
        <w:footnoteRef/>
      </w:r>
      <w:r>
        <w:rPr>
          <w:rFonts w:hint="cs"/>
          <w:color w:val="000000"/>
          <w:rtl/>
          <w:lang w:bidi="ar-MA"/>
        </w:rPr>
        <w:t xml:space="preserve"> ـ </w:t>
      </w:r>
      <w:r w:rsidRPr="009F5B7A">
        <w:rPr>
          <w:rFonts w:hint="cs"/>
          <w:b/>
          <w:bCs/>
          <w:color w:val="000000"/>
          <w:rtl/>
          <w:lang w:bidi="ar-MA"/>
        </w:rPr>
        <w:t>عمر بندورو</w:t>
      </w:r>
      <w:r>
        <w:rPr>
          <w:rFonts w:hint="cs"/>
          <w:color w:val="000000"/>
          <w:rtl/>
          <w:lang w:bidi="ar-MA"/>
        </w:rPr>
        <w:t xml:space="preserve"> ، مرجع </w:t>
      </w:r>
      <w:r w:rsidRPr="002C465A">
        <w:rPr>
          <w:rFonts w:hint="cs"/>
          <w:color w:val="000000"/>
          <w:rtl/>
          <w:lang w:bidi="ar-MA"/>
        </w:rPr>
        <w:t xml:space="preserve">سابق </w:t>
      </w:r>
      <w:r>
        <w:rPr>
          <w:rFonts w:hint="cs"/>
          <w:color w:val="000000"/>
          <w:rtl/>
          <w:lang w:bidi="ar-MA"/>
        </w:rPr>
        <w:t>، ص : 92 .</w:t>
      </w:r>
    </w:p>
  </w:footnote>
  <w:footnote w:id="25">
    <w:p w:rsidR="007C3EF1" w:rsidRPr="002C465A" w:rsidRDefault="007C3EF1" w:rsidP="007C3EF1">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المادة 34 من الاتف</w:t>
      </w:r>
      <w:r>
        <w:rPr>
          <w:rFonts w:hint="cs"/>
          <w:color w:val="000000"/>
          <w:rtl/>
          <w:lang w:bidi="ar-MA"/>
        </w:rPr>
        <w:t>اقية الأمريكية لحقوق الإنسان  .</w:t>
      </w:r>
    </w:p>
  </w:footnote>
  <w:footnote w:id="26">
    <w:p w:rsidR="007C3EF1" w:rsidRPr="002C465A" w:rsidRDefault="007C3EF1" w:rsidP="007C3EF1">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المادة 37 من الاتفاقية الأمريكية لحقوق الإنس</w:t>
      </w:r>
      <w:r>
        <w:rPr>
          <w:rFonts w:hint="cs"/>
          <w:color w:val="000000"/>
          <w:rtl/>
          <w:lang w:bidi="ar-MA"/>
        </w:rPr>
        <w:t>ان .</w:t>
      </w:r>
    </w:p>
  </w:footnote>
  <w:footnote w:id="27">
    <w:p w:rsidR="007C3EF1" w:rsidRPr="002C465A" w:rsidRDefault="007C3EF1" w:rsidP="007C3EF1">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w:t>
      </w:r>
      <w:r w:rsidRPr="00A13790">
        <w:rPr>
          <w:rFonts w:hint="cs"/>
          <w:b/>
          <w:bCs/>
          <w:color w:val="000000"/>
          <w:rtl/>
          <w:lang w:bidi="ar-MA"/>
        </w:rPr>
        <w:t>عمر بندورو</w:t>
      </w:r>
      <w:r>
        <w:rPr>
          <w:rFonts w:hint="cs"/>
          <w:b/>
          <w:bCs/>
          <w:color w:val="000000"/>
          <w:rtl/>
          <w:lang w:bidi="ar-MA"/>
        </w:rPr>
        <w:t>،</w:t>
      </w:r>
      <w:r w:rsidRPr="002C465A">
        <w:rPr>
          <w:rFonts w:hint="cs"/>
          <w:color w:val="000000"/>
          <w:rtl/>
          <w:lang w:bidi="ar-MA"/>
        </w:rPr>
        <w:t xml:space="preserve"> ونفس المرجع السابق </w:t>
      </w:r>
      <w:r>
        <w:rPr>
          <w:rFonts w:hint="cs"/>
          <w:color w:val="000000"/>
          <w:rtl/>
          <w:lang w:bidi="ar-MA"/>
        </w:rPr>
        <w:t>، ص : 92 .</w:t>
      </w:r>
    </w:p>
  </w:footnote>
  <w:footnote w:id="28">
    <w:p w:rsidR="007C3EF1" w:rsidRPr="002C465A" w:rsidRDefault="007C3EF1" w:rsidP="007C3EF1">
      <w:pPr>
        <w:pStyle w:val="Notedebasdepage"/>
        <w:jc w:val="both"/>
        <w:rPr>
          <w:color w:val="000000"/>
          <w:lang w:bidi="ar-MA"/>
        </w:rPr>
      </w:pPr>
      <w:r w:rsidRPr="00A13790">
        <w:rPr>
          <w:rStyle w:val="Appelnotedebasdep"/>
          <w:b/>
          <w:bCs/>
          <w:color w:val="000000"/>
        </w:rPr>
        <w:footnoteRef/>
      </w:r>
      <w:r w:rsidRPr="00A13790">
        <w:rPr>
          <w:rFonts w:hint="cs"/>
          <w:b/>
          <w:bCs/>
          <w:color w:val="000000"/>
          <w:rtl/>
          <w:lang w:bidi="ar-MA"/>
        </w:rPr>
        <w:t xml:space="preserve"> ـ</w:t>
      </w:r>
      <w:r w:rsidRPr="00A13790">
        <w:rPr>
          <w:b/>
          <w:bCs/>
          <w:color w:val="000000"/>
          <w:lang w:bidi="ar-MA"/>
        </w:rPr>
        <w:t>K</w:t>
      </w:r>
      <w:r w:rsidRPr="00A13790">
        <w:rPr>
          <w:rFonts w:hint="cs"/>
          <w:b/>
          <w:bCs/>
          <w:color w:val="000000"/>
          <w:rtl/>
          <w:lang w:bidi="ar-MA"/>
        </w:rPr>
        <w:t>.</w:t>
      </w:r>
      <w:r w:rsidRPr="00A13790">
        <w:rPr>
          <w:b/>
          <w:bCs/>
          <w:color w:val="000000"/>
          <w:lang w:bidi="ar-MA"/>
        </w:rPr>
        <w:t>Vasak</w:t>
      </w:r>
      <w:r w:rsidRPr="002C465A">
        <w:rPr>
          <w:color w:val="000000"/>
          <w:lang w:bidi="ar-MA"/>
        </w:rPr>
        <w:t xml:space="preserve"> : «  la promotion à la protection des droits de l’homme </w:t>
      </w:r>
      <w:r>
        <w:rPr>
          <w:rFonts w:hint="cs"/>
          <w:color w:val="000000"/>
          <w:rtl/>
          <w:lang w:bidi="ar-MA"/>
        </w:rPr>
        <w:t>.</w:t>
      </w:r>
      <w:r>
        <w:rPr>
          <w:color w:val="000000"/>
          <w:lang w:bidi="ar-MA"/>
        </w:rPr>
        <w:t>In la commission internationale</w:t>
      </w:r>
      <w:r w:rsidRPr="002C465A">
        <w:rPr>
          <w:color w:val="000000"/>
          <w:lang w:bidi="ar-MA"/>
        </w:rPr>
        <w:t xml:space="preserve"> des droits del’homme</w:t>
      </w:r>
      <w:r>
        <w:rPr>
          <w:rFonts w:hint="cs"/>
          <w:color w:val="000000"/>
          <w:rtl/>
          <w:lang w:bidi="ar-MA"/>
        </w:rPr>
        <w:t>.</w:t>
      </w:r>
      <w:r w:rsidRPr="002C465A">
        <w:rPr>
          <w:color w:val="000000"/>
          <w:lang w:bidi="ar-MA"/>
        </w:rPr>
        <w:t xml:space="preserve">1968 </w:t>
      </w:r>
      <w:r>
        <w:rPr>
          <w:rFonts w:hint="cs"/>
          <w:color w:val="000000"/>
          <w:rtl/>
          <w:lang w:bidi="ar-MA"/>
        </w:rPr>
        <w:t>.</w:t>
      </w:r>
      <w:r w:rsidRPr="002C465A">
        <w:rPr>
          <w:color w:val="000000"/>
          <w:lang w:bidi="ar-MA"/>
        </w:rPr>
        <w:t xml:space="preserve"> p : 46</w:t>
      </w:r>
      <w:r>
        <w:rPr>
          <w:rFonts w:hint="cs"/>
          <w:color w:val="000000"/>
          <w:rtl/>
          <w:lang w:bidi="ar-M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59D6"/>
    <w:multiLevelType w:val="hybridMultilevel"/>
    <w:tmpl w:val="606465A6"/>
    <w:lvl w:ilvl="0" w:tplc="029EC782">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5C80631A"/>
    <w:multiLevelType w:val="hybridMultilevel"/>
    <w:tmpl w:val="6ED089FE"/>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7C3EF1"/>
    <w:rsid w:val="002932E1"/>
    <w:rsid w:val="003260E2"/>
    <w:rsid w:val="005712EF"/>
    <w:rsid w:val="007C3EF1"/>
    <w:rsid w:val="00972E69"/>
    <w:rsid w:val="00A45A0B"/>
    <w:rsid w:val="00E66A00"/>
    <w:rsid w:val="00F16FD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F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C3E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3EF1"/>
    <w:rPr>
      <w:sz w:val="20"/>
      <w:szCs w:val="20"/>
    </w:rPr>
  </w:style>
  <w:style w:type="character" w:styleId="Appelnotedebasdep">
    <w:name w:val="footnote reference"/>
    <w:basedOn w:val="Policepardfaut"/>
    <w:uiPriority w:val="99"/>
    <w:semiHidden/>
    <w:unhideWhenUsed/>
    <w:rsid w:val="007C3EF1"/>
    <w:rPr>
      <w:vertAlign w:val="superscript"/>
    </w:rPr>
  </w:style>
  <w:style w:type="paragraph" w:styleId="Retraitcorpsdetexte">
    <w:name w:val="Body Text Indent"/>
    <w:basedOn w:val="Normal"/>
    <w:link w:val="RetraitcorpsdetexteCar"/>
    <w:rsid w:val="007C3EF1"/>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7C3EF1"/>
    <w:rPr>
      <w:rFonts w:ascii="Times New Roman" w:eastAsia="Times New Roman" w:hAnsi="Times New Roman" w:cs="Times New Roman"/>
      <w:sz w:val="32"/>
      <w:szCs w:val="32"/>
      <w:lang w:eastAsia="fr-FR" w:bidi="ar-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C3E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3EF1"/>
    <w:rPr>
      <w:sz w:val="20"/>
      <w:szCs w:val="20"/>
    </w:rPr>
  </w:style>
  <w:style w:type="character" w:styleId="Appelnotedebasdep">
    <w:name w:val="footnote reference"/>
    <w:basedOn w:val="Policepardfaut"/>
    <w:uiPriority w:val="99"/>
    <w:semiHidden/>
    <w:unhideWhenUsed/>
    <w:rsid w:val="007C3EF1"/>
    <w:rPr>
      <w:vertAlign w:val="superscript"/>
    </w:rPr>
  </w:style>
  <w:style w:type="paragraph" w:styleId="Retraitcorpsdetexte">
    <w:name w:val="Body Text Indent"/>
    <w:basedOn w:val="Normal"/>
    <w:link w:val="RetraitcorpsdetexteCar"/>
    <w:rsid w:val="007C3EF1"/>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7C3EF1"/>
    <w:rPr>
      <w:rFonts w:ascii="Times New Roman" w:eastAsia="Times New Roman" w:hAnsi="Times New Roman" w:cs="Times New Roman"/>
      <w:sz w:val="32"/>
      <w:szCs w:val="32"/>
      <w:lang w:eastAsia="fr-FR" w:bidi="ar-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2554</Words>
  <Characters>14049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Sony</cp:lastModifiedBy>
  <cp:revision>2</cp:revision>
  <dcterms:created xsi:type="dcterms:W3CDTF">2020-04-15T22:15:00Z</dcterms:created>
  <dcterms:modified xsi:type="dcterms:W3CDTF">2020-04-15T22:15:00Z</dcterms:modified>
</cp:coreProperties>
</file>